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D-7000/2023 vom 5. Februar 2024</w:t>
      </w:r>
    </w:p>
    <w:p>
      <w:r>
        <w:t>Bundesverwaltungsgericht, 2024-02-05, DE</w:t>
      </w:r>
    </w:p>
    <w:p>
      <w:r>
        <w:rPr>
          <w:b/>
        </w:rPr>
        <w:t xml:space="preserve">Quelle: </w:t>
      </w:r>
      <w:r>
        <w:t>https://mcp.opencaselaw.ch/entscheid/bvger_D-7000_2023</w:t>
      </w:r>
    </w:p>
    <w:p>
      <w:r>
        <w:t>FR: TAF D-7000/2023 du 5 février 2024</w:t>
      </w:r>
    </w:p>
    <w:p>
      <w:r>
        <w:t>IT: TAF D-7000/2023 del 5 febbraio 2024</w:t>
      </w:r>
    </w:p>
    <w:p>
      <w:pPr>
        <w:pStyle w:val="Heading2"/>
      </w:pPr>
      <w:r>
        <w:t>Regeste</w:t>
      </w:r>
    </w:p>
    <w:p>
      <w:r>
        <w:t>Asyl und Wegweisung</w:t>
      </w:r>
    </w:p>
    <w:p>
      <w:pPr>
        <w:pStyle w:val="Heading2"/>
      </w:pPr>
      <w:r>
        <w:t>Erwägungen</w:t>
      </w:r>
    </w:p>
    <w:p>
      <w:r>
        <w:rPr>
          <w:b/>
        </w:rPr>
        <w:t>E. 6</w:t>
      </w:r>
    </w:p>
    <w:p>
      <w:r>
        <w:t>Februar 2023 und dem Wunsch des Beschwerdeführers, bei seinem Va- ter in der Schweiz zu bleiben, keine Asylrelevanz abgeleitet werden, dass sich das Bundesverwaltungsgericht in Bezug auf die vom Beschwer- deführer vorgebrachte Festnahme und die angeblich in Untersuchungshaft erlittenen Verletzungen ebenfalls der Auffassung des SEM anschliesst, aufgrund der Sympathien des Beschwerdeführers für die HDP könne zwar – auch wenn es sich bei der HDP um eine legale Partei handle – nicht ganz ausgeschlossen werden, dass es tatsächlich zu einer Verhaftung gekom- men sei, dass die einmalige, nur eine Nacht dauernde Inhaftierung jedoch in der Tat nicht genügt, um eine begründete Furcht vor einer zukünftigen, flüchtlings- rechtlich relevanten Verfolgung anzunehmen, zumal der Vorfall bereits im Januar 2022 stattgefunden haben soll (womit es an einer gewissen Aktua- lität und damit einem Kausalzusammenhang zur Ausreise fehlt) und der Beschwerdeführer nie in exponierter Stellung für die HDP tätig gewesen ist und daher keine beachtliche Wahrscheinlichkeit besteht, dass plötzlich ein Verfahren gegen ihn eingeleitet wird, dass – wie in der angefochtenen Verfügung ebenfalls richtig ausgeführt wurde – das beschriebene Vorgehen des fehlbaren Beamten zwar nicht zu entschuldigen ist, für sich genommen jedoch noch nicht die zur Feststel- lung einer flüchtlingsrechtlich relevanten Vorverfolgung erforderliche Inten- sität erreicht, wobei willkürliche Gewaltanwendung seitens Behördenmit- glieder auch in der Türkei strafrechtlich geahndet wird, der Beschwerde- führer offenbar aber in Rücksprache mit seinem Anwalt auf eine Anzeige verzichtet hat, dass die Darlegungen in der Beschwerdeschrift (im Wesentlichen Wieder- holungen des anlässlich der Befragungen geschilderten Sachverhalts, all- gemeine, mit Hinweisen auf öffentlich zugängliche Quellen versehene Aus- führungen zur Situation der Kurden und Aleviten in der Türkei sowie die</w:t>
      </w:r>
    </w:p>
    <w:p>
      <w:r>
        <w:t>D-7000/2023 Seite 8 Behauptung, der Beschwerdeführer sei nur darum kein offizielles Mitglied der HDP geworden, weil er immer noch auf eine Anstellung im öffentlichen Dienst gehofft habe [vgl. Beschwerde S. 8 f.]) ebenso wenig geeignet sind, zu einer anderen Beurteilung des Sachverhalts zu führen, wie das gleich- zeitig in Kopie eingereichte, undatierte Bestätigungsschreiben der – mit der HDP verbundenen – Demokratik Bölgeler Partisi (DBP), dass im Übrigen im besagten Schreiben des DBP-Vorsitzenden des Distrikts Kahta lediglich (nicht besonders exponierende) Aktivitäten des Beschwerdeführers für die HDP beziehungsweise die DBP, nicht aber eine Verfolgungssituation aufgrund dieser Aktivitäten bestätigt werden, dass die Vorinstanz nach dem Gesagten die Flüchtlingseigenschaft des Beschwerdeführers zu Recht verneint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 mungen über die vorläufige Aufnahme regelt, wenn der Vollzug der Weg- weisung nicht zulässig, nicht zumutbar oder nicht möglich ist (Art. 44 AsylG; Art. 83 Abs. 1 AIG [SR 142.20]), dass bezüglich der Geltendmachung von Wegweisungsvollzugshindernis- sen gemäss Praxis des Bundesverwaltungsgerichts der gleiche Beweis- standard wie bei der Prüfung der Flüchtlingseigenschaft gilt; das heisst, sie sind zu beweisen, wenn der strikte Beweis möglich ist, und andernfalls we- 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w:t>
      </w:r>
    </w:p>
    <w:p>
      <w:r>
        <w:t>D-7000/2023 Seite 9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 wie in der angefochtenen Verfügung zutreffend festgestellt wurde – nicht gelungen ist, eine asylrechtlich erhebliche Ge- 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auch unter Berücksichtigung des Wiederaufflammens des türkisch- kurdischen Konfliktes sowie der bewaffneten Auseinandersetzungen zwi- schen der PKK und staatlichen Sicherheitskräften seit Juli 2015 und der Entwicklungen nach dem Militärputschversuch im Juli 2016 gemäss kon- stanter gerichtlicher Praxis nicht von einer Situation allgemeiner Gewalt oder bürgerkriegsähnlichen Verhältnissen in der gesamten Türkei auszu- gehen ist (vgl. etwa Urteil des BVGer D-4343/2023 vom 13. September 2023 E. 8.3.1 m.w.H. sowie das Referenzurteil E-1948/2018 vom 12. Juni 2018 E. 7.3.1), dass sich das SEM in seiner angefochtenen Verfügung (vgl. S. 7 f.) einge- hend mit der aktuellen Lage in den von den Erdbeben von Anfang Februar 2023 betroffenen Provinzen auseinandersetzte und festhielt, die Zumutbar- keit des Wegweisungsvollzugs dorthin sei individuell in jedem Einzelfall zu prüfen, dass es dabei zutreffend darlegte, der Beschwerdeführer stamme zwar aus der von den Erdbeben betroffenen Provinz C._______, sei aber sehr gut ausgebildet, verfüge über einen Bachelor der (…) sowie über mehrjährige</w:t>
      </w:r>
    </w:p>
    <w:p>
      <w:r>
        <w:t>D-7000/2023 Seite 10 Berufserfahrung als (…) mit eigener (…) und habe ein grosses soziales Netz in der Türkei (mit Ausnahme seines Vaters leben alle Verwandten in der Stadt C._______ und Umgebung), dass es angesichts der in der Türkei bestehenden Niederlassungsfreiheit auch auf das Vorhandensein einer innerstaatlichen Aufenthaltsalternative ausserhalb der Provinz C._______ hinwies, dass sodann auch keine gewichtigen gesundheitlichen Probleme gegen die Zumutbarkeit des Wegweisungsvollzugs sprechen, dass die Vorinstanz diesbezüglich zutreffend bemerkte, der Beschwerde- führer habe einerseits keinerlei seine (…) betreffenden ärztlichen Berichte eingereicht und sei andererseits wegen (…) bereits in den Jahren 2018 und 2021/2022 in der Türkei in psychiatrischer Behandlung gewesen und habe Medikamente dagegen erhalten, dass weder die in keiner Weise substanziierte Bemerkung, der Vollzug der Wegweisung des Beschwerdeführers sei in diesem physischen und psy- chischen Zustand nicht zumutbar (vgl. Beschwerde S. 14), noch die mit der Beschwerdeschrift eingereichte, von K._______ von "(…)" am 29. Novem- ber 2023 unterzeichnete – und ebenfalls nicht substanziierte – "(…)" auf eine Unzumutbarkeit des Wegweisungsvollzugs aus medizinischen Grün- den schliessen lassen, dass der Vollständigkeit festzuhalten ist, dass die vor Vorinstanz vorge- brachte Verlobung nicht geeignet ist, eine andere Beurteilung des Sach- verhalts herbeizuführen, und der Beschwerdeführer diesbezüglich auf Be- schwerdeebene nichts Gegenteiliges behauptet, dass der Beschwerdeführer aus dem Wunsch seines Vaters, ihn in der Nähe zu haben, keinen Anspruch auf Familiennachzug ableiten kann, wo- bei das SEM zutreffend bemerkte, der Beschwerdeführer sei zuvor mehr als (…) Jahre lang von seinem Vater getrennt gewesen und habe es als Minderjähriger abgelehnt, zu ihm in die Schweiz zu ziehen, dass es schliesslich dem Beschwerdeführer obliegt, bei der Beschaffung notwendiger Papiere mitzuwirken (Art. 8 Abs. 4 AsylG), weshalb der Voll- zug der Wegweisung auch als möglich zu bezeichnen ist (Art. 83 Abs. 1 AIG),</w:t>
      </w:r>
    </w:p>
    <w:p>
      <w:r>
        <w:t>D-7000/2023 Seite 11 dass das SEM nach dem Gesagten den Wegweisungsvollzug zu Recht als zulässig, zumutbar und möglich bezeichnet hat, weshalb eine Anordnung der vorläufigen Aufnahme ausser Betracht fällt (Art. 83 Abs. 1–4 AIG), dass sich insgesamt aus den vorstehenden Erwägungen ergibt, dass die angefochtene Verfügung einer Überprüfung gemäss Art. 106 Abs. 1 AsylG standhält und die Beschwerde abzuweisen ist, dass bei diesem Ausgang des Verfahrens die Kosten von Fr. 750.– (Art. 1–3 des Reglements vom 21. Februar 2008 über die Kosten und Ent- schädigungen vor dem Bundesverwaltungsgericht [VGKE, SR 173.320.2]) dem Beschwerdeführer aufzuerlegen sind (Art. 63 Abs. 1 und 5 VwVG), wobei der am 22. Januar 2024 in gleicher Höhe geleistete Kostenvor- schuss zur Bezahlung der Verfahrenskosten zu verwenden ist.</w:t>
      </w:r>
    </w:p>
    <w:p>
      <w:r>
        <w:t>(Dispositiv nächste Seite)</w:t>
      </w:r>
    </w:p>
    <w:p>
      <w:r>
        <w:t>D-7000/2023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