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D-69/2021 vom 28. Juni 2021</w:t>
      </w:r>
    </w:p>
    <w:p>
      <w:r>
        <w:t>Bundesverwaltungsgericht, 2021-06-28, DE</w:t>
      </w:r>
    </w:p>
    <w:p>
      <w:r>
        <w:rPr>
          <w:b/>
        </w:rPr>
        <w:t xml:space="preserve">Quelle: </w:t>
      </w:r>
      <w:r>
        <w:t>https://mcp.opencaselaw.ch/entscheid/bvger_D-69_2021</w:t>
      </w:r>
    </w:p>
    <w:p>
      <w:r>
        <w:t>FR: TAF D-69/2021 du 28 juin 2021</w:t>
      </w:r>
    </w:p>
    <w:p>
      <w:r>
        <w:t>IT: TAF D-69/2021 del 28 giugno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Der Beschwerdeführer ist als Verfügungsadressat zur Beschwerdeführung legitimiert (Art. 48 Abs. 1 VwVG). Auf die frist- und formgerecht eingereichte Beschwerde ist einzutreten (Art. 108 Abs. 6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Ebenfalls im Rahmen einer Wiedererwägung zu prüfen sind Beweismittel, die erst nach einem materiellen Beschwerdeentscheid des Bundesverwaltungsgerichts entstanden sind und daher revisionsrechtlich nicht von Relevanz sein können (vgl. BVGE 2013/22 E. 12 und 13).</w:t>
      </w:r>
    </w:p>
    <w:p>
      <w:r>
        <w:rPr>
          <w:b/>
        </w:rPr>
        <w:t>E. 3.2</w:t>
      </w:r>
    </w:p>
    <w:p>
      <w:r>
        <w:t>Die Wiedererwägung ist nicht beliebig zulässig. Sie darf nicht dazu dienen, die Rechtskraft von Verwaltungsentscheiden immer wieder infrage zu stellen oder die Fristen für die Ergreifung von Rechtsmitteln zu umgehen. Gründe, welche bereits im Zeitpunkt der verpassten Anfechtungsmöglichkeit im ordentlichen Beschwerdeverfahren bestanden haben, können somit nicht als Wiedererwägungsgründe vorgebracht werden (vgl. Art. 66 Abs. 3 VwVG und Entscheidungen und Mitteilungen der Schweizerischen Asylrekurskommission [EMARK] 2000 Nr. 24 E. 5b S. 220).</w:t>
      </w:r>
    </w:p>
    <w:p>
      <w:r>
        <w:rPr>
          <w:b/>
        </w:rPr>
        <w:t>E. 4.1</w:t>
      </w:r>
    </w:p>
    <w:p>
      <w:r>
        <w:t>Gegenstand des vorliegenden Verfahrens bildet die Frage der Zumutbarkeit des Wegweisungsvollzugs des Beschwerdeführers nach Kabul.</w:t>
      </w:r>
    </w:p>
    <w:p>
      <w:r>
        <w:rPr>
          <w:b/>
        </w:rPr>
        <w:t>E. 4.2</w:t>
      </w:r>
    </w:p>
    <w:p>
      <w:r>
        <w:t>Das SEM hielt in der angefochtenen Verfügung fest, der Beschwerdeführer habe seine veränderte familiäre Situation beziehungsweise das nunmehr weggefallene soziale Beziehungsnetz in Kabul bereits auf Beschwerdeebene geltend gemacht. Als neuer Grund werde nur vorgebracht, dass die Verlobung mit der Cousine unterdessen aufgelöst sei und kein Kontakt mehr zu ihr oder ihrer Familie bestehe. Allerdings würden diesbezüglich keine Beweismittel eingereicht. Im Übrigen sei darauf hinzuweisen, dass seine im Rahmen des Asylverfahrens, inklusive dem Beschwerdeverfahren, geltend gemachten Angaben in Bezug auf die Gefährdungssituation seiner Familie als nicht glaubhaft erachtet worden seien. Es sei somit auch nicht glaubhaft, dass seine Familie deswegen aus Kabul weggegangen sei. Zudem seien in seinem Fall die Voraussetzungen aufgrund des Alters, der Ungebundenheit, der Ausbildung, und der sozialen Vernetzung insgesamt günstig. Es sollte daher möglich sein, dass er sich in Kabul, wo mindestens noch die Familie seines verstorbenen Onkels väterlicherseits (Familie der ehemaligen Verlobten und Cousine) leben würde, wirtschaftlich und sozial wieder einzugliedern und sich dort wieder eine Existenz aufzubauen. Die diesbezügliche Aussage, die Verlobung sei aufgelöst und er habe keinen Kontakt mehr, sei äusserst pauschal ausgefallen. Des Weiteren müssten gemäss den Aussagen des Beschwerdeführers noch die beiden Cousins in Kabul wohnhaft sein. An dieser Einschätzung würden auch die neu eingereichten Fotos in Bezug auf die angebliche Wohnsituation der Familienangehörigen in C._______ nichts ändern. Die Fotos würden weder die Identität der abgebildeten Personen noch deren permanenten Wohnort in C._______ belegen.</w:t>
      </w:r>
    </w:p>
    <w:p>
      <w:r>
        <w:rPr>
          <w:b/>
        </w:rPr>
        <w:t>E. 4.3</w:t>
      </w:r>
    </w:p>
    <w:p>
      <w:r>
        <w:t>In der Beschwerde wurde vorgebracht, dass der Beschwerdeführer nicht wisse, wie er beweisen solle, dass seine Familie nicht mehr in Kabul lebe. Er habe den Mietvertrag und die Fotos geschickt und verfüge über keine weiteren Beweismittel, um zu zeigen, dass seine Familie nicht mehr in Kabul, sondern in C._______ sei. Auch handle es sich um ein Missverständnis, wenn das SEM behaupte, er habe noch zwei Cousins in Kabul. Seine Tante habe keine Söhne, sondern Töchter, und diese Cousinen seien selbstverständlich mit ihrer Mutter, also seiner Tante, mitgegangen nach C._______ und nicht allein in Kabul geblieben. Sie hätten ohne Ehemänner nicht allein in Kabul bleiben können. Er habe zwar nur seine Tante neben seiner Mutter und seinen Geschwistern erwähnt, aber die Cousinen wohnten zusammen mit seiner Mutter, seinen Geschwistern und seiner Tante in C._______. In Kabul lebe nur noch die Familie seiner ehemaligen Verlobten, die mittlerweile neu verlobt sei. Es gäbe keine Chance, dass er als ehemaliger Verlobter zu ihrem Teil der Familie zurückgehen könne. Er habe keine Familie, kein Zuhause und keine Arbeit in Kabul. Auch sei er in psychologischer Behandlung und werde einen entsprechenden Bericht nachschicken.</w:t>
      </w:r>
    </w:p>
    <w:p>
      <w:r>
        <w:rPr>
          <w:b/>
        </w:rPr>
        <w:t>E. 5.1</w:t>
      </w:r>
    </w:p>
    <w:p>
      <w:r>
        <w:t>Das Bundesverwaltungsgericht erachtet die Lage in der Stadt Kabul zum heutigen Zeitpunkt grundsätzlich als existenzbedrohend und somit hinsichtlich des Wegweisungsvollzugs als unzumutbar im Sinne von Art. 83 Abs. 4 AIG (SR 142.20). Von dieser Regel kann abgewichen werden, falls besonders begünstigende Faktoren vorliegen, aufgrund derer ausnahmsweise von der Zumutbarkeit des Vollzugs ausgegangen werden kann. Solche besonders begünstigenden Faktoren können gemäss dem Referenzurteil D-5800/2016 vom 13. Oktober 2017 namentlich dann gegeben sein, wenn es sich bei der zurückkehrenden Person um einen jungen, gesunden Mann handelt. Unabdingbar ist ferner in jedem Fall ein soziales Netz, das sich im Hinblick auf die Aufnahme und Wiedereingliederung der zurückkehrenden Person als tragfähig erweist. Dieses soziale Netz muss der zurückkehrenden Person insbesondere eine angemessene Unterkunft, Grundversorgung sowie Hilfe zur sozialen und wirtschaftlichen Reintegration bieten können. Allein aufgrund von losen Kontakten zu Bekannten, Verwandten oder auch Mitgliedern der Kernfamilie kann nicht von einem tragfähigen sozialen Beziehungsnetz ausgegangen werden. Entscheidrelevant ist zudem,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ist das Vorliegen dieser strengen Anforderungen in jedem Einzelfall sorgfältig zu prüfen und diese müssen erfüllt sein, um einen Wegweisungsvollzug nach Kabul als zumutbar zu qualifizieren (Referenzurteil des BVGer D-5800/2016 vom 13. Oktober 2017 E. 8.4.1).</w:t>
      </w:r>
    </w:p>
    <w:p>
      <w:r>
        <w:rPr>
          <w:b/>
        </w:rPr>
        <w:t>E. 5.2</w:t>
      </w:r>
    </w:p>
    <w:p>
      <w:r>
        <w:t>Bereits im ordentlichen Asylverfahren schloss sich das Bundesverwaltungsgericht der Einschätzung des SEM an, wonach im Falle des Beschwerdeführers von besonders begünstigenden Faktoren ausgegangen werden kann und sich der Wegweisungsvollzug nach Kabul im Falle des Beschwerdeführers als zumutbar erweist (vgl. Urteil des BVGer D-4214/2018 vom 20. November 2018 E. 8.4). Die während des Wiedererwägungsverfahren sichergestellten Dokumente wie die Tazkira des Beschwerdeführers sind für das Verfahren nicht von Bedeutung, da die Feststellung seiner Identität nicht Gegenstand des vorliegenden Verfahrens ist.</w:t>
      </w:r>
    </w:p>
    <w:p>
      <w:r>
        <w:rPr>
          <w:b/>
        </w:rPr>
        <w:t>E. 5.2.1</w:t>
      </w:r>
    </w:p>
    <w:p>
      <w:r>
        <w:t>Soweit der Beschwerdeführer mit dem vorliegenden Wiedererwägungsgesuch ein tragfähiges Beziehungsnetz in Kabul bestreitet, kann dem nicht gefolgt werden. Das SEM hat zu Recht festgestellt, dass er den Wegzug der Familienangehörigen aus Kabul bereits auf Beschwerdeebene im ordentlichen Asylverfahren vorgebracht hatte. Bereits dort hatte er am 31. Oktober 2018 denselben undatierten Mietvertrag eingereicht und angeführt, seine Familie sei wegen der Drohungen gegen seinen Bruder nach C._______ gezogen. Das SEM hat in seiner jetzigen Verfügung vom 21. Dezember 2020 zu Recht darauf hingewiesen, dass die vermeintliche Gefährdungssituation der Familienmitglieder im ersten Asylverfahren als nicht glaubhaft erachtet worden ist. Im Beschwerdeurteil des Bundesverwaltungsgerichtes D-4214/2018 vom 20. November 2018 ist auch erwogen worden, dass demnach auch der Wegzug der Familienangehörigen aufgrund der vermeintlichen Gefährdungssituation als nicht glaubhaft erachtet werden kann. Zudem wurde der Beweiswert des Mietvertrages als gering eingestuft, da ein solcher leicht käuflich zu erwerben ist. Im Übrigen ist festzuhalten, dass der Mietvertrag nicht zu belegen vermag, dass und welche Familienmitglieder tatsächlich im Mietobjekt wohnen, zumal als Mieter im Vertrag lediglich eine (weibliche) Person aufgeführt ist. Aus dem Beweismittel lässt sich somit nicht schliessen, der Beschwerdeführer verfüge über kein tragfähiges Beziehungsnetz in Kabul.</w:t>
      </w:r>
    </w:p>
    <w:p>
      <w:r>
        <w:rPr>
          <w:b/>
        </w:rPr>
        <w:t>E. 5.2.2</w:t>
      </w:r>
    </w:p>
    <w:p>
      <w:r>
        <w:t>Die Ausdrucke der Fotos, welche die angebliche Wohnsituation der Familie in C._______ zeigen sollen, datieren vom 15. August 2019 und sind somit nach dem Beschwerdeurteil vom November 2018 entstanden. Sie beziehen sich wie der Mietvertrag auf das bereits auf Beschwerdeebene geltend gemachte veränderte soziale Beziehungsnetz in Kabul. Sie sind aber ebenfalls nicht geeignet, ein fehlendes tragfähiges Beziehungsnetz in Kabul zu belegen. Sie zeigen nur erwachsene Personen (angeblich die Mutter, den Bruder und die Tante des Beschwerdeführers) in dörflicher und häuslicher Umgebung. Es ist aber durch keine weiteren Dokumente beziehungsweise Identitätsnachweise belegt, dass es sich dabei tatsächlich um die Mutter, die Tante und den Bruder handeln soll. Selbst wenn die Personen auf den Fotos seine Familienangehörigen sein sollten und die Fotos aus C._______ stammten, ist damit immer noch nicht bewiesen, dass seine gesamte Familie nun permanent nicht mehr in Kabul lebt.</w:t>
      </w:r>
    </w:p>
    <w:p>
      <w:r>
        <w:rPr>
          <w:b/>
        </w:rPr>
        <w:t>E. 5.2.3</w:t>
      </w:r>
    </w:p>
    <w:p>
      <w:r>
        <w:t>Zudem stellt sich auch die Frage nach weiteren Verwandten in Kabul, zumal die Angaben des Beschwerdeführers diesbezüglich widersprüchlich ausgefallen sind. So hat der Beschwerdeführer in der Anhörung im erstinstanzlichen Asylverfahren ausgesagt, er habe mit seiner Mutter und seinen Geschwistern bei der Familie des Onkels väterlicherseits gelebt. Dieser Onkel, der gestorben sei, habe zwei Söhne, wobei der eine arbeite (vgl. act. A17, S. 5, F18-F22). Somit müsste der Beschwerdeführer, wie das SEM in seiner Verfügung zu Recht festhält, noch zwei Cousins in Kabul haben. Die nachträgliche Behauptung in der Beschwerde (vgl. Beschwerde, S. 3, Punkt 6), wonach er keine zwei Cousins habe, sondern zwei Cousinen, erscheint unglaubhaft. Auch überzeugt es nicht, dass er diese Cousinen nicht erwähnt hat, wenn sie doch angeblich mit der Tante, seiner Mutter und seinen Geschwistern nach C._______ gegangen seien. Zudem ist es auffällig, dass auch auf den mit dem Wiedererwägungsgesuch eingereichten Fotos nur der Bruder, die Tante und die Mutter abgebildet sein sollen, nicht aber die angeblich ebenfalls dorthin gezogenen Cousinen (vgl. Wiedererwägungsgesuch, Legende [Beilage 3]). Auch die Angaben zur Familie seiner Verlobten, die zugleich seine Cousine sei (vgl. act. A17, S. 13, zu F22), sind widersprüchlich. In der Anhörung ist die Rede von einem Onkel, der Tante und deren Töchter (eine davon die Verlobte des Beschwerdeführers in Kabul (vgl. act. A17, S. 11, F67-F69). Auch das SEM führte im erstinstanzlichen Verfahren in der Verfügung vom 19. Juni 2018 diese Familienangehörigen in Kabul auf. In seinem Wiedererwägungsgesuch behauptet der Beschwerdeführer nun, dass SEM habe die Angaben zu den Onkeln in Kabul falsch verstanden, er habe keinen Onkel in Kabul mehr, beide Brüder des Vaters seien gestorben, wobei der jüngere Onkel, der Vater seiner Verlobten, im Krieg gestorben sei, der ältere Onkel im Zusammenhang mit der Familienfehde (vgl. Wiedererwägungsgesuch, S. 4, Punkt 5). Diese Angaben lassen sich den Befragungen so jedoch nicht entnehmen. So ist in der Anhörung davon die Rede, dass ein Onkel im Krieg gestorben sei, wobei er dann von einem Tod im Zusammenhang mit dem Konflikt spricht und schliesslich Krieg und Konflikt gleichsetzt (vgl. act. A17, S. 11, F71). Auch in der Beschwerde vom 20. Juli 2018 im Verfahren D-4214/2018 erklärte er, dass mit Krieg die Familienfehde als Konflikt gemeint sei (vgl. Beschwerde vom 20. Juli 2018, S. 6, Punkt 3). Dass der ältere Bruder im Familienkonflikt getötet sei, der jüngere im Krieg, wie jetzt behauptet, lässt sich aber weder der BzP noch der Anhörung entnehmen, zumal im Anhörungsprotokoll ausdrücklich die Rede davon ist, dass er noch einen Onkel väterlicherseits in Kabul habe, welcher der Vater der Verlobten sei (vgl. act. A17, S. 13, zu F22). Schliesslich scheint es noch weitere Verwandte in Kabul zu geben, habe doch sein Bruder bei Verwandten in einem Kleiderladen gearbeitet, in dem auch der Beschwerdeführer mitgearbeitet hatte (vgl. act. A17, S. 4, F17; A5, Ziff. 1.17.05).</w:t>
      </w:r>
    </w:p>
    <w:p>
      <w:r>
        <w:rPr>
          <w:b/>
        </w:rPr>
        <w:t>E. 5.2.4</w:t>
      </w:r>
    </w:p>
    <w:p>
      <w:r>
        <w:t>In Bezug auf die Auflösung der Verlobung, den einzigen neuen Grund für das Wiedererwägungsgesuch, sind die Angaben des Beschwerdeführers sehr pauschal und als nachträgliche Steigerung seiner Vorbringen zum fehlenden Beziehungsnetz in Kabul einzuordnen und somit als unglaubhaft zu erachten. Bezeichnenderweise kann der Beschwerdeführer auch keine diesbezüglichen Beweismittel einreichen. In der Beschwerde macht er sodann - ebenfalls unbelegt und als weitere Steigerung - geltend, seine Verlobte habe sich inzwischen neu verlobt.</w:t>
      </w:r>
    </w:p>
    <w:p>
      <w:r>
        <w:rPr>
          <w:b/>
        </w:rPr>
        <w:t>E. 5.2.5</w:t>
      </w:r>
    </w:p>
    <w:p>
      <w:r>
        <w:t>Da der Wegzug der Familienangehörigen nicht als glaubhaft zu erachten ist und ebenso auch nicht die Auflösung der Verlobung, ist anzunehmen, dass der Beschwerdeführer bei der Rückkehr eine Unterkunft im Familien- oder Verwandtenkreis vorfindet. Insgesamt ist somit vom weiteren Vorliegen eines tragfähigen Beziehungsnetzes in Kabul auszugehen. Im Übrigen ist anzufügen, dass der Beschwerdeführer in Kabul die Schule besucht und gearbeitet hat, somit über ein weiteres soziales Beziehungsnetz verfügen dürfte und wieder im Kleiderladen oder auf dem Markt arbeiten könnte. Demnach ist auch unter Berücksichtigung der schwierigen wirtschaftlichen Lage in Kabul und in Afghanistan allgemein von einem Umfeld auszugehen, dass eine rasche Reintegration in den Arbeitsmarkt erleichtern dürfte.</w:t>
      </w:r>
    </w:p>
    <w:p>
      <w:r>
        <w:rPr>
          <w:b/>
        </w:rPr>
        <w:t>E. 5.3</w:t>
      </w:r>
    </w:p>
    <w:p>
      <w:r>
        <w:t>Hinsichtlich des Gesundheitszustandes ist festzuhalten, dass sich der Beschwerdeführer in der BzP und in der Anhörung als gesund bezeichnet und im erstinstanzlichen Verfahren kein Arztzeugnis eingereicht hat. Erst im Wiedererwägungsverfahren - wobei gar erst auf Beschwerdeebene - reicht er ein solches ein. Darin wird festgehalten, dass der Beschwerdeführer an einer mittelgradigen bis schweren depressiven Episode mit Suizidgedanken und unverarbeiteten posttraumatischen Erlebnissen leide. Eine Rückkehr nach Afghanistan könne seine emotionale Instabilität verstärken. Zudem habe er in Afghanistan keine Möglichkeit, die Behandlung fortzuführen, da es an professionellen Kliniken fehle. Das Arztzeugnis wirft zunächst Fragen auf, als der Beschwerdeführer demgemäss angeblich bereits seit April 2019 in ambulanter psychiatrischer Behandlung sei und vorher schon in hausärztlicher Behandlung mit antidepressiver Medikation gewesen sei, er dies bisher aber nie vorgebracht hat. Aus dem Bericht wird weiter nicht deutlich, wie oft der Beschwerdeführer Psychotherapie-Sitzungen in Anspruch nimmt und wann er genau schwerere Phasen der Erkrankung hatte. Hinsichtlich der diagnostizierten Depression ist festzuhalten, dass eine medizinische Behandlung psychischer Erkrankungen auch in Kabul möglich ist. Zwar weist das öffentliche Gesundheitssystem in Afghanistan beziehungsweise in Kabul bezüglich Kapazität und Infrastruktur Mängel auf. Jedoch besteht in Kabul gemäss der Auskunft der SFH-Länderanalyse "Afghanistan: Psychiatrische und psychotherapeutische Behandlung" vom 5. April 2017 die Möglichkeit, sich an zwei Spitälern psychiatrisch behandeln zu lassen. Überdies ist davon auszugehen, dass der Beschwerdeführer durch eine sowohl in Form von Medikamenten als auch in Bargeld ausgerichtete medizinische Rückkehrhilfe (vgl. Art. 93 Abs. 1 Bst. d AsylG i.V.m. Art. 75 der Asylverordnung 2 vom 11. August 1999 [AsylV 2, SR 142.312]) auch tatsächlichen Zugang zu einer entsprechenden medizinischen Behandlung in seiner Heimat erhältlich machen kann. Weiter ist davon auszugehen, dass er sich mit Hilfe des Therapeuten gezielt auf die Rückkehr vorbereiten kann und ausserdem zu Familienmitgliedern wird zurückkehren können. Gemäss Rechtsprechung bewirkt der Umstand, dass die Behandlungsmöglichkeiten im Herkunftsland nicht dem medizinischen Standard in der Schweiz entsprechen, allein noch nicht die Unzumutbakeit des Vollzugs. Von einer solchen ist erst dann auszugehen, wenn die ungenügende Möglichkeit der Weiterbehandlung eine drastische und lebensbedrohende Verschlechterung des Gesundheitszustandes nach sich zieht beziehungsweise - nach präzisierender Rechtsprechung des EGMR - infolge fehlenden Zugangs zu einer medizinischen Behandlung intensives Leiden oder eine erhebliche Kürzung der Lebenserwartung droht (vgl. BVGE 2011/9 E. 7 m.w.H.; EGMR, Paposhvili gegen Belgien, Urteil vom 13. Dezember 2016, Beschwerde-Nr. 41738/10, § 183). Insgesamt lassen die vorliegenden gesundheitlichen Beschwerden des Beschwerdeführers nicht auf eine konkrete Gefährdung in Form einer medizinischen Notlage nach dem Verständnis von Art. 83 Abs. 4 AIG schliessen. Es ist demnach nicht davon auszugehen, dass eine Rückkehr nach Afghanistan respektive Kabul zu einer raschen und lebensgefährdenden Beeinträchtigung seines Gesundheitszustandes führen wird.</w:t>
      </w:r>
    </w:p>
    <w:p>
      <w:r>
        <w:rPr>
          <w:b/>
        </w:rPr>
        <w:t>E. 5.4</w:t>
      </w:r>
    </w:p>
    <w:p>
      <w:r>
        <w:t>Demnach ist davon auszugehen, dass im Falle des Beschwerdeführers nach wie vor besonders begünstigende Umstände hinsichtlich des Wegweisungsvollzuges nach Kabul vorliegen und er bei einer Rückkehr nicht in eine existenzielle Notlage geraten wird, die als konkrete Gefährdung zu werten wäre.</w:t>
      </w:r>
    </w:p>
    <w:p>
      <w:r>
        <w:rPr>
          <w:b/>
        </w:rPr>
        <w:t>E. 6</w:t>
      </w:r>
    </w:p>
    <w:p>
      <w:r>
        <w:t>Aus diesen Erwägungen ergibt sich, dass die angefochtene Verfügung Bundesrecht nicht verletzt und auch sonst nicht zu beanstanden ist. Die Beschwerde ist abzuweisen.</w:t>
      </w:r>
    </w:p>
    <w:p>
      <w:r>
        <w:rPr>
          <w:b/>
        </w:rPr>
        <w:t>E. 7</w:t>
      </w:r>
    </w:p>
    <w:p>
      <w:r>
        <w:t>Bei diesem Ausgang des Verfahrens wären die Kosten dem Beschwerdeführer aufzuerlegen (vgl. Art. 63 Abs. 1 VwVG). Da das Gesuch um unentgeltliche Rechtspflege mit Zwischenverfügung vom 1. Februar 2021 gutgeheissen wurde, sind keine Verfahrenskosten zu erheben. Eine Parteientschädigung ist bei diesem Ergebnis nicht geschuldet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