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D-6999/2024 vom 20. März 2026</w:t>
      </w:r>
    </w:p>
    <w:p>
      <w:r>
        <w:t>Bundesverwaltungsgericht, 2026-03-20, DE</w:t>
      </w:r>
    </w:p>
    <w:p>
      <w:r>
        <w:rPr>
          <w:b/>
        </w:rPr>
        <w:t xml:space="preserve">Quelle: </w:t>
      </w:r>
      <w:r>
        <w:t>https://mcp.opencaselaw.ch/entscheid/bvger_D-6999_2024</w:t>
      </w:r>
    </w:p>
    <w:p>
      <w:r>
        <w:t>FR: TAF D-6999/2024 du 20 mars 2026</w:t>
      </w:r>
    </w:p>
    <w:p>
      <w:r>
        <w:t>IT: TAF D-6999/2024 del 20 marzo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nachstehend E. 5.3) - vorliegend um eine solche Beschwerde, weshalb das Urteil nur summarisch zu begründen ist (Art. 72 i.V.m. Art. 111a Abs. 2 AsylG).</w:t>
      </w:r>
    </w:p>
    <w:p>
      <w:r>
        <w:rPr>
          <w:b/>
        </w:rPr>
        <w:t>E. 4</w:t>
      </w:r>
    </w:p>
    <w:p>
      <w:r>
        <w:t>In ihrer Beschwerdeergänzung beantragt die Beschwerdeführerin die Rückweisung der Sache an die Vorinstanz, weil die Möglichkeit der Wiedererlangung eines Schutzstatus in Bulgarien nicht ausreichend abgeklärt worden sei. Angesichts nachfolgender materieller Erwägungen erübrigen sich Abklärungen durch das SEM zur Wiedererlangung des Schutzstatus in Bulgarien. Auf dieses Vorbringen ist deshalb nicht näher einzugehen.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Dieser Erlass ist durch eine neue Allgemeinverfügung vom 8. Oktober 2025 [BBl 2025 3074; in Kraft seit 1. November 2025] aufgehoben respektive abgelöst worden. Gemäss Ziff. III Abs. 3 des neuen Erlasses gilt die neue Regelung auch für Verfahren, die im Zeitpunkt des Inkrafttretens beim Staatssekretariat für Migration hängig sind. Im vorliegenden Fall wurde das vorinstanzliche Verfahren indes am 14. Oktober 2024 abgeschlossen. Demnach gilt für das vorliegende Beschwerdeverfahren nach wie vor die Allgemeinverfügung vom 11. März 2022.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Die Beschwerdeführerin ist ukrainische Staatsangehörige und hat vor dem 24. Februar 2022 in der Ukraine gewohnt. Sie fällt somit grundsätzlich unter Bst. a der Allgemeinverfügung. Den Akten zufolge hielt sie sich zwischen dem 29. März 2022 und 31. Mai 2022 in Bulgarien auf und verfügte über einen bis zum 23. Februar 2023 gültigen bulgarischen Schutzstatus (Nr. 825016728), welchen sie im Rahmen der Registrierung um vorübergehenden Schutz in der Schweiz vorgewiesen hat. Dieser EU-Schutztitel wurde der Beschwerdeführerin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Koordinationsentscheid D-4601/2025 E. 6.2.2; Urteil des BVGer D-2096/2025 vom 23. Februar 2026 E.5.1). Damit besteht ein hinreichender Anknüpfungspunkt in Bulgarien.</w:t>
      </w:r>
    </w:p>
    <w:p>
      <w:r>
        <w:rPr>
          <w:b/>
        </w:rPr>
        <w:t>E. 6.2</w:t>
      </w:r>
    </w:p>
    <w:p>
      <w:r>
        <w:t>In Anbetracht der Aktenlage ist zwar davon auszugehen, dass die Beschwerdeführerin aktuell über keinen gültigen bulgarischen Schutztitel respektive eine darauf basierende Aufenthaltsbewilligung (mehr) verfügt. Bulgarien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Bulgarien ihren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Bulgarien für die Beschwerdeführerin nachteilig auswirken wird (vgl. zu diesem Thema auch das EuGH-Urteil vom 27. Februar 2025 in der Sache C-753/23 [Krasiliva]). Insgesamt kann demnach mit hinreichender Gewissheit festgestellt werden, dass Bulgarien der Beschwerdeführerin im Falle ihrer Rückkehr dorthin erneut vorübergehenden Schutz gewähren und ihr einen entsprechenden Aufenthaltstitel ausstellen wird. Daraus dass ihrem Ehemann trotz angeblich ebenfalls erhaltenem bulgarischem Schutzstatus in der Schweiz Schutz gewährt worden sei, kann die Beschwerdeführerin nichts zu ihren Gunsten ableiten, zumal es kein Recht auf Gleichbehandlung im Unrecht gibt (BGE 139 II 49 E. 7.1; BVGE 2016/21 E. 6.2).</w:t>
      </w:r>
    </w:p>
    <w:p>
      <w:r>
        <w:rPr>
          <w:b/>
        </w:rPr>
        <w:t>E. 6.3</w:t>
      </w:r>
    </w:p>
    <w:p>
      <w:r>
        <w:t>Als Inhaberin eines gültigen ukrainischen Reisepasses kann die Beschwerdeführerin visumsfrei in den Schengenraum ein- und zwischen den Schengen-Staaten herumreisen. Somit kann sie ohne weiteres selbständig von der Schweiz nach Bulgarien zurückkehren beziehungsweise legal dort einreisen.</w:t>
      </w:r>
    </w:p>
    <w:p>
      <w:r>
        <w:rPr>
          <w:b/>
        </w:rPr>
        <w:t>E. 6.4</w:t>
      </w:r>
    </w:p>
    <w:p>
      <w:r>
        <w:t>Das SEM hat demnach zutreffend festgestellt, dass die Beschwerdeführerin in Bulgarien über eine valable Schutzalternative verfügt und damit nicht auf den Schutz der Schweiz angewiesen ist.</w:t>
      </w:r>
    </w:p>
    <w:p>
      <w:r>
        <w:rPr>
          <w:b/>
        </w:rPr>
        <w:t>E. 7.1</w:t>
      </w:r>
    </w:p>
    <w:p>
      <w:r>
        <w:t>Gemäss Art. 71 Abs. 1 Bst. b AsylG wird Ehegatten von Schutzbedürftigen vorübergehend Schutz gewährt, wenn die Familie durch Ereignisse nach Art. 4 AsylG getrennt wurde, sich in der Schweiz vereinigen will und keine besonderen Umstände dagegen sprechen. Ehegatten gleichgestellt sind eingetragene Partnerinnen und Partner und in dauernder eheähnlicher Gemeinschaft zusammenlebende Personen (Art. 1a Bst. e der Asylverordnung 1 über Verfahrensfragen [AsylV 1; SR 142.311]). 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Eine Vereinigung nach einer Trennung durch Ereignisse nach Art. 4 AsylG setzt - analog zum asylrechtlichen Familiennachzug aus dem Ausland nach Art. 51 Abs. 4 AsylG - eine vorbestandene Familienbeziehung im Heimat- oder Herkunftsstaat respektive bei vorübergehendem Schutz in der vom Bundesrat in seinem Grundsatzentscheid definierten Konfliktregion voraus (vgl. BVGer E-5207/2024 vom 20. September 2024 E. 6 m.w.H.).</w:t>
      </w:r>
    </w:p>
    <w:p>
      <w:r>
        <w:rPr>
          <w:b/>
        </w:rPr>
        <w:t>E. 7.2</w:t>
      </w:r>
    </w:p>
    <w:p>
      <w:r>
        <w:t>Die Beschwerdeführerin hat am (...) 2025 auf dem digitalen Standesamt Kiew B._______ geheiratet, welchem am 14. März 2024 in der Schweiz vorübergehender Schutz gewährt worden war. In ihrer Replik gab sie an, dass sie seit über dreieinhalb Jahren ein Paar seien. In ihrer Stellungnahme vom 7. Oktober 2024 hatte sie angegeben, sie sei wegen ihres Freundes in die Schweiz gekommen, welcher hier lebe und mit welchem sie schon lange in einer Beziehung sei. Weitere Angaben zu ihrer Beziehung sind den Akten nicht zu entnehmen. Das SEM hat deshalb richtig ausgeführt, aus den Akten ergebe sich nicht, dass die Beschwerdeführerin mit ihm vor ihrer Ausreise in einem gemeinsamen Haushalt gelebt habe. Andere Umstände, wie die Übernahme von wechselseitiger Verantwortung seien vorliegend auch nicht aktenkundig, so dass sie den rechtlichen Erfordernissen einer vorbestandenen eheähnlichen Beziehung nicht zu genügen vermöchten. Dem wird in der Beschwerde abgesehen von der inzwischen erfolgten Heirat nichts Grundsätzliches entgegengehalten. Vor diesem Hintergrund kann nicht vom Bestehen eines vorbestandenen gefestigten Konkubinats zum Zeitpunkt der Ausreise der Beschwerdeführerin ausgegangen werden und ein solches wird von der vertretenen Beschwerdeführerin auch gar nicht geltend gemacht. Die inzwischen erfolgte Heirat und das Zusammenleben in der Schweiz vermag daran nichts zu ändern.</w:t>
      </w:r>
    </w:p>
    <w:p>
      <w:r>
        <w:rPr>
          <w:b/>
        </w:rPr>
        <w:t>E. 8</w:t>
      </w:r>
    </w:p>
    <w:p>
      <w:r>
        <w:t>Das SEM hat damit das Gesuch um Gewährung des vorübergehenden Schutzes zu Recht abgelehnt.</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 verfügt insbesondere weder über eine ausländerrechtliche Aufenthaltsbewilligung noch über einen Anspruch auf Erteilung einer solchen. Die Wegweisung wurde demnach vom SEM ebenfalls zu Recht angeordnet (vgl. BVGE 2013/37 E. 4.4; 2009/50 E. 9, je m.w.H.). Die Heirat mit einer aufenthaltsberechtigten Person vermag daran nichts zu ändern.</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Wegweisungsvollzugshindernissen sind zu beweisen, wenn der strikte Beweis möglich ist, und andernfalls wenigstens glaubhaft zu machen (vgl. BVGE 2011/24 E. 10.2 m.w.H.).</w:t>
      </w:r>
    </w:p>
    <w:p>
      <w:r>
        <w:rPr>
          <w:b/>
        </w:rPr>
        <w:t>E. 10.2.1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10.2.2</w:t>
      </w:r>
    </w:p>
    <w:p>
      <w:r>
        <w:t>Den Akten sind keine Hinweise auf eine Verletzung des flüchtlingsrechtlichen Refoulement-Verbots in Bezug auf Bulgarien zu entnehmen. Sodann ergeben sich weder aus den Aussagen der Beschwerdeführerin noch aus den Akten Anhaltspunkte dafür, dass sie für den Fall einer Ausschaffung nach Bulgarien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Bulgarien ist Signatarstaat der EMRK, der FoK und der FK sowie des Zusatzprotokolls der FK vom 31. Januar 1967 (SR 0.142.301) und kommt seinen diesbezüglichen völkerrechtlichen Verpflichtungen grundsätzlich nach. Die Beschwerdeführerin hat denn auch nichts Gegenteiliges dargetan. Der Vollzug der Wegweisung nach Bulgarien ist daher als zulässig zu erachten.</w:t>
      </w:r>
    </w:p>
    <w:p>
      <w:r>
        <w:rPr>
          <w:b/>
        </w:rPr>
        <w:t>E. 10.2.3</w:t>
      </w:r>
    </w:p>
    <w:p>
      <w:r>
        <w:t>Ebensowenig ist eine Verletzung von Art. 8 EMRK zu erkennen, da diese Bestimmung ein gefestigtes Anwesenheitsrecht ihres Ehemannes vorausaussetzen würde (BGE 144 II 1) und der ihm gewährte vorübergehende Schutz gerade nicht auf Dauer ausgelegt ist. Ohnehin ist die entsprechende Familiengemeinschaft im Wissen um den unsicheren Aufenthaltsstatus geschlossen worden.</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Bulgarien über ein Gesundheitssystem verfügt, das europäischem Standard entspricht, weshalb die geltend gemachten psychischen Probleme der Beschwerdeführerin in Bulgarien ohne Weiteres behandelt werden können. Auch aus dem Umstand, dass sie in Bulgarien weder über eine Wohnung, Arbeit noch Verwandte verfüge, kann sie nach obigen Erwägungen nichts zu ihren Gunsten ableiten. Der Vollzug der Wegweisung nach Bulgarien ist somit als zumutbar zu erachten.</w:t>
      </w:r>
    </w:p>
    <w:p>
      <w:r>
        <w:rPr>
          <w:b/>
        </w:rPr>
        <w:t>E. 10.4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kann die Beschwerdeführerin als Inhaberin eines gültigen ukrainischen Reisepasses ohne weiteres in Bulgarien einreisen. Für eine Feststellung der Unmöglichkeit des Vollzugs der Wegweisung besteht damit kein Raum.</w:t>
      </w:r>
    </w:p>
    <w:p>
      <w:r>
        <w:rPr>
          <w:b/>
        </w:rPr>
        <w:t>E. 10.5</w:t>
      </w:r>
    </w:p>
    <w:p>
      <w:r>
        <w:t>Zusammenfassend ist festzustellen, dass die Anordnung der vorläufigen Aufnahme infolge Unzulässigkeit, Unzumutbarkeit oder Unmöglichkeit des Vollzugs (Art. 83 Abs. 1-4 AIG) vorliegend ausser Betracht fällt.</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12.1</w:t>
      </w:r>
    </w:p>
    <w:p>
      <w:r>
        <w:t>Bei diesem Ausgang des Verfahrens wären dessen Kosten grundsätzlich der Beschwerdeführerin aufzuerlegen (Art. 63 Abs. 1 VwVG). Nachdem das Gesuch um Gewährung der unentgeltlichen Prozessführung mit Zwischenverfügung vom 20. November 2024 gutgeheissen wurde, sind jedoch keine Verfahrenskosten zu erheben.</w:t>
      </w:r>
    </w:p>
    <w:p>
      <w:r>
        <w:rPr>
          <w:b/>
        </w:rPr>
        <w:t>E. 12.2</w:t>
      </w:r>
    </w:p>
    <w:p>
      <w:r>
        <w:t>Mit Zwischenverfügung vom 6. Dezember 2024 wurde auch das Gesuch um amtliche Verbeiständung gutgeheissen und die rubrizierte Rechtsvertreterin als amtliche Rechtsbeiständin beigeordnet. Diese reichte mit der Beschwerdeergänzung und der Replik zwei Kostennoten ein. Der in der Kostennote geltend gemachte zeitliche Aufwand von 8 Stunden sowie die Spesen erscheinen angemessen. Der Stundenansatz ist auf den in der Zwischenverfügung vom 20. November 2024 kommunizierten Ansatz von Fr. 150.- zu kürzen. Der nachfolgende Aufwand ist angemessen zu berücksichtigen. Demnach ist der amtlich eingesetzten Rechtsbeiständin vom Bundesverwaltungsgericht ein Honorar von insgesamt Fr. 1'500.-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