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D-6991/2013 vom 13. Mai 2014</w:t>
      </w:r>
    </w:p>
    <w:p>
      <w:r>
        <w:t>Bundesverwaltungsgericht, 2014-05-13, DE</w:t>
      </w:r>
    </w:p>
    <w:p>
      <w:r>
        <w:rPr>
          <w:b/>
        </w:rPr>
        <w:t xml:space="preserve">Quelle: </w:t>
      </w:r>
      <w:r>
        <w:t>https://mcp.opencaselaw.ch/entscheid/bvger_D-6991_2013</w:t>
      </w:r>
    </w:p>
    <w:p>
      <w:r>
        <w:t>FR: TAF D-6991/2013 du 13 mai 2014</w:t>
      </w:r>
    </w:p>
    <w:p>
      <w:r>
        <w:t>IT: TAF D-6991/2013 del 13 maggio 2014</w:t>
      </w:r>
    </w:p>
    <w:p>
      <w:pPr>
        <w:pStyle w:val="Heading2"/>
      </w:pPr>
      <w:r>
        <w:t>Regeste</w:t>
      </w:r>
    </w:p>
    <w:p>
      <w:r>
        <w:t>Asylgesuch aus dem Ausland und Einreisebewilligung</w:t>
      </w:r>
    </w:p>
    <w:p>
      <w:pPr>
        <w:pStyle w:val="Heading2"/>
      </w:pPr>
      <w:r>
        <w:t>Erwägungen</w:t>
      </w:r>
    </w:p>
    <w:p>
      <w:r>
        <w:rPr>
          <w:b/>
        </w:rPr>
        <w:t>E. 1.1</w:t>
      </w:r>
    </w:p>
    <w:p>
      <w:r>
        <w:t>Gemäss Art. 31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Asylgesetz [AsylG, SR 142.31]; Art. 83 Bst. d Ziff. 1 BGG).</w:t>
      </w:r>
    </w:p>
    <w:p>
      <w:r>
        <w:rPr>
          <w:b/>
        </w:rPr>
        <w:t>E. 1.2</w:t>
      </w:r>
    </w:p>
    <w:p>
      <w:r>
        <w:t>Das Verfahren richtet sich nach dem VwVG, soweit das VGG oder das AsylG nichts anderes bestimmen (Art. 37 VGG; Art. 6 und 105 AsylG).</w:t>
      </w:r>
    </w:p>
    <w:p>
      <w:r>
        <w:rPr>
          <w:b/>
        </w:rPr>
        <w:t>E. 1.3</w:t>
      </w:r>
    </w:p>
    <w:p>
      <w:r>
        <w:t>Der Beschwerdeführer ist legitimiert (Art. 48 Abs. 1 VwVG), und er hat seine Beschwerde gemäss Aktenlage fristgerecht bei der schweizeri­schen Botschaft in Colombo eingereicht (Art. 108 Abs. 1 AsylG i.V.m. Art. 21 Abs. 1 VwVG). Die Beschwerde ist auch formgerecht (Art. 52 Abs. 1 VwVG). Auf die Beschwerde ist demnach einzutreten.</w:t>
      </w:r>
    </w:p>
    <w:p>
      <w:r>
        <w:rPr>
          <w:b/>
        </w:rPr>
        <w:t>E. 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3</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dies ist vorliegend der Fall.</w:t>
      </w:r>
    </w:p>
    <w:p>
      <w:r>
        <w:rPr>
          <w:b/>
        </w:rPr>
        <w:t>E. 4.1</w:t>
      </w:r>
    </w:p>
    <w:p>
      <w:r>
        <w:t>Das BFM kann ein im Ausland gestelltes Asylgesuch ablehnen, wenn die asylsuchende Person keine Verfolgung glaubhaft machen kann oder ihr die Aufnahme in einem Drittstaat zugemutet werden kann (vgl. Art. 3, Art. 7 und aArt. 52 Abs. 2 AsylG).</w:t>
      </w:r>
    </w:p>
    <w:p>
      <w:r>
        <w:rPr>
          <w:b/>
        </w:rPr>
        <w:t>E. 4.2</w:t>
      </w:r>
    </w:p>
    <w:p>
      <w:r>
        <w:t>Gemäss aArt.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4.3</w:t>
      </w:r>
    </w:p>
    <w:p>
      <w:r>
        <w:t>Mit der Vorinstanz ist festzuhalten, dass den vom Beschwerdeführer geltend gemachten Vorkommnissen keine einreiserelevante Bedeutung zukommt. Das BFM hält richtigerweise fest, dass die von ihm geltend ge­machten Ereignisse vor dem Hintergrund der allgemein angespannten Situation betrachtet werden müssten, welche während und nach der Beendigung des Bürgerkrieges geherrscht hätten, seine Haft im Zeitpunkt der Verfü­gung bereits zwei Jahre zurückgelegen habe und mit seiner Freilassung auf richterliche Anweisung hin als beendet zu betrachten sei. Daraus fol­gerte das BFM zu Recht, dass es aktuell keine konkret belegten Anhalts­punkte dafür gebe, ihm könnten deswegen noch irgendwelche persönli­che Nachteile drohen. Im Weiteren ist mit der Einschätzung des BFM ei­nig zu gehen, wonach die von ihm für den Zeitpunkt seiner Haftentlas­sung geltend gemachten Vorfälle aufgrund ihrer Art und Intensität keine erhebliche Verfolgung darstellten, die für die Gewährung der Einreise in die Schweiz erforderlich seien. Zudem ist von der Schutzfähigkeit des sri-lankischen Staates auszugehen, weshalb die Möglichkeit besteht, bei den zuständigen Behörden um Schutz vor einer allfälligen Verfolgung seitens Dritter zu ersuchen. Für eine Schutzunwilligkeit des sri-lankischen Staates ergeben sich vorliegend keine Anhaltspunkte. Im Weiteren kann der Beschwerdeführer auch aus den während der Haft erlittenen Verletzun­gen keine Einreiserelevanz herleiten. Auch schliesst sich das Bun­desverwaltungsgericht der Ansicht der Vorinstanz an, wonach davon auszugehen sei, der Beschwerdeführer sei nicht dermassen ernsthaften Nachteilen ausgesetzt oder habe begründete Furcht, inskünftig solchen Nachteilen ausgesetzt zu werden, da er bislang sein Heimatland nicht verlassen und insbesondere bisher auch nicht gel­tend gemacht hat, dazu nicht in der Lage gewesen zu sein. 5.Somit ist es dem Beschwerdeführer nicht gelungen, eine aktuelle Gefähr­dung im Sinne von Art. 3 AsylG aufzuzeigen, welche die Bewilligung der Einreise in die Schweiz rechtfertigen würde. Die Schutzbedürftigkeit des Beschwerdeführers im Sinne von aArt. 20 i.V.m. Art. 3 AsylG ist nicht gegeben. Im Übrigen ist auch eine Beziehungsnähe des Beschwerdefüh­rers zur Schweiz zu verneinen (aArt. 52 Abs. 2 AsylG). Das BFM hat dem Beschwerdeführer zu Recht die Einreise in die Schweiz nicht bewil­ligt und das Asylgesuch abgelehnt. 6.Aus diesen Erwägungen ergibt sich, dass die angefochtene Verfügung Bundesrecht nicht verletzt und den rechtserheblichen Sachverhalt richtig und vollständig feststellt (Art. 106 Abs. 1 AsylG). Die Beschwerde ist da­her abzuweisen. 7.Bei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