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D-698/2020 vom 13. Februar 2020</w:t>
      </w:r>
    </w:p>
    <w:p>
      <w:r>
        <w:t>Bundesverwaltungsgericht, 2020-02-13, DE</w:t>
      </w:r>
    </w:p>
    <w:p>
      <w:r>
        <w:rPr>
          <w:b/>
        </w:rPr>
        <w:t xml:space="preserve">Quelle: </w:t>
      </w:r>
      <w:r>
        <w:t>https://mcp.opencaselaw.ch/entscheid/bvger_D-698_2020</w:t>
      </w:r>
    </w:p>
    <w:p>
      <w:r>
        <w:t>FR: TAF D-698/2020 du 13 février 2020</w:t>
      </w:r>
    </w:p>
    <w:p>
      <w:r>
        <w:t>IT: TAF D-698/2020 del 13 febbraio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schutzfähiges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SEM lehnte das Asylgesuch der Beschwerdeführerinnen gestützt auf Art. 40 i.V.m. Art. 6a Abs. 2 Bst. a AsylG ab. Die vorliegende Beschwerde richtet sich einzig gegen die Anordnung des Wegweisungsvollzugs. Es wird geltend gemacht, der Vollzug der Wegweisung erweise sich für die Beschwerdeführerinnen aus verschiedenen Gründen als nicht durchführbar. Angefochten sind mithin lediglich die Dispositivziffern 3 und 4 der Verfügung des SEM vom 28. Januar 2020. Nicht angefochten sind die Dispositivziffern 1 und 2. Der Gegenstand des vorliegenden Verfahrens beschränkt sich folglich auf die Wegweisung und auf die Frage der Zulässigkeit und Zumutbarkeit des Wegweisungsvollzugs nach Serbien.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Beschwerdeführerinnen verfügen weder über eine ausländerrechtliche Aufenthaltsbewilligung noch über einen Anspruch auf Erteilung einer solchen. Die Wegweisung wurde demnach zu Recht angeordnet (Art. 44 AsylG; vgl. BVGE 2013/37 E. 4.4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sowie 4 EMRK darf niemand der Folter oder unmenschlicher oder erniedrigender Strafe oder Behandlung unterworfen werden.</w:t>
      </w:r>
    </w:p>
    <w:p>
      <w:r>
        <w:rPr>
          <w:b/>
        </w:rPr>
        <w:t>E. 6.2.2</w:t>
      </w:r>
    </w:p>
    <w:p>
      <w:r>
        <w:t>Das SEM weist in seiner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6.2.3</w:t>
      </w:r>
    </w:p>
    <w:p>
      <w:r>
        <w:t>Sodann ergeben sich weder aus den Aussagen der Beschwerdeführerinnen noch aus den Akten Anhaltspunkte dafür, dass sie für den Fall einer Ausschaffung nach Serbien dort mit beachtlicher Wahrscheinlichkeit einer nach Art. 3 EMRK oder Art. 1 FoK verbotenen Strafe oder Behandlung ausgesetzt wären. Gemäss der Praxis des EGMR sowie jener des UN-Anti-Folterausschusses müssten die Beschwerdeführerinnen eine konkrete Gefahr («real risk») nachweisen oder glaubhaft machen, dass ihnen im Fall einer Rückschiebung Folter oder unmenschliche Behandlung drohen würden (vgl. Urteil des EGMR Saadi gegen Italien vom 28. Februar 2008, Grosse Kammer 37201/06, §§ 124-127 m.w.H.). Dies ist ihnen nicht gelungen. Dies gilt auch mit Blick auf die vorgebrachten Morddrohungen und tätlichen Übergriffe des Ehemannes. Das SEM hat - unter dem Asylpunkt - mit zutreffender Begründung (vgl. Sachverhalt Bst. D) festgehalten, dass den heimatlichen Behörden nicht mangelnder Schutzwille oder mangelnde Schutzfähigkeit vorgeworfen werden kann. Dass der Ehemann unmittelbar vor der Ausreise der Beschwerdeführerin und ihrer Tochter verhaftet wurde, damit er diese nicht mehr belästigen kann (vgl. SEM-act. [...]-21/20 F129; nachfolgend: act. 21), lässt gegenteils darauf schliessen, dass die Behörden durchaus entschieden gegen den Ehemann vorgingen. Daran vermögen die Rechtsmittelvorbringen nichts zu ändern. Damit setzt sich die Beschwerdeführerin, soweit sie ausführt, sie habe vergeblich versucht, in einem Frauenhaus unterzukommen, vielmehr in Widerspruch zu ihren vorinstanzlichen Angaben, brachte sie in der Anhörung doch vor, sie wisse nicht, wo in Serbien ein Frauenhaus sei und habe sich auch nicht danach erkundigt (vgl. a.a.O. F178 f.).</w:t>
      </w:r>
    </w:p>
    <w:p>
      <w:r>
        <w:rPr>
          <w:b/>
        </w:rPr>
        <w:t>E. 6.2.4</w:t>
      </w:r>
    </w:p>
    <w:p>
      <w:r>
        <w:t>Auch die allgemeine Menschenrechtssituation in Serbien lässt den Wegweisungsvollzug zum heutigen Zeitpunkt nicht als unzulässig erscheinen. Serbien gilt als sicherer Heimat- oder Herkunftsstaat gemäss Art. 6a Abs. 2 Bst. a AsylG.</w:t>
      </w:r>
    </w:p>
    <w:p>
      <w:r>
        <w:rPr>
          <w:b/>
        </w:rPr>
        <w:t>E. 6.2.5</w:t>
      </w:r>
    </w:p>
    <w:p>
      <w:r>
        <w:t>Die Beschwerdeführerin trägt individuell vor, dass ihr Zugang zur medizinischen Versorgung mangels Aufnahme in die Krankenversicherung nicht gewährleistet sei. Sie habe auch kein tragfähiges Beziehungsnetz und könne von ihren Verwandten keine Hilfe erwarten, so dass sie bei einer Rückkehr auf der Strasse leben müsste. Tatsächlich hat der EGMR im Urteil vom 21. Januar 2011 in Fall M.S.S. gegen Belgien und Griechenland (Nr.30696/09) in E. 263, 264 festgestellt, dass ein Leben in extremer Armut und ohne die Möglichkeit zur Befriedigung der notwendigsten Bedürfnisse und ohne eine Perspektive auf Besserung eine Verletzung von Art. 3 EMRK bedeuten kann. Die Beschwerdeführerin hat jedoch eine derart gravierende Situation nicht glaubhaft machen können. Ihre Schilderungen hinsichtlich eines fehlenden Beziehungsnetzes sind unsubstanziiert und sehr stereotyp ausgefallen. So ist nicht glaubhaft, dass sie - obwohl sie (...) Tanten und (...) Onkel habe, die mehrheitlich in G._______ wohnen (vgl. SEM-act. 21 F104) - zu keinen von ihnen Kontakt haben soll. Auch ihre Begründung, dass ihr Vater sie und die beiden Töchter auf die Strasse gestellt habe, weil er sie gedrängt habe, zu ihrem Ehemann zurückzugehen (vgl. SEM-act. 21 F63), überzeugt mit Blick darauf, dass sie nach der Ausschaffung aus Deutschland im Jahr (...) - offensichtlich ohne Anstände - bei ihrem Vater wohnen konnte (vgl. SEM-act. 21 F78), nicht und erscheint als blosse Schutzbehauptung. Im Übrigen ist - auch wenn nicht von der Hand zu weisen ist, dass die wirtschaftliche Situation in Serbien schwierig ist und die staatlichen Sozialleistungen sich auf sehr niedrigem Niveau bewegen - dennoch ein gewisser Zugang zu Wohlfahrtsleistungen gewährleistet (vgl. Urteil des BVGer D-167/2016 vom 23. November 2018 E. 4.4.2 m.w.H.). Die Beschwerdeführerin ist Staatsangehörige von Serbien und es ist entgegen ihren Angaben davon auszugehen, dass sie über die entsprechenden Identitätspapiere verfügt. So wäre sie bei Wahrunterstellung ihres Vorbringens, sie habe die Identitätskarte verloren, gehalten, sich ein neues Identitätspapier ausstellen zu lassen. Dies dürfte ihr ohne Weiteres möglich sein, nachdem ihr das Polizeipräsidium den Angaben zufolge bereits eine Kopie angefertigt hat (vgl. SEM-act. 21 F51 f.). Es kann der Beschwerdeführerin demnach auch zugemutet werden, sich bei den örtlichen Behörden um Unterstützung zu bemühen (vgl. Urteil des BVGer D-1078/2015 vom 2. März 2015 E. 4.5). Damit ist die von der Beschwerdeführerin geschilderte Situation nicht vergleichbar mit einem im oben zitierten Urteil skizzierten Szenario, das eine Verletzung von Art. 3 EMRK begründen würde. Es gelingt ihr nicht, glaubhaft zu machen, dass ihr in Serbien mit beträchtlicher Wahrscheinlichkeit eine Verletzung von Art. 3 EMRK droht, weshalb der Vollzug der Wegweisung zulässig ist.</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Vorab ist festzuhalten, dass die allgemeine Lage in Serbien weder von Krieg, Bürgerkrieg noch von allgemeiner Gewalt gekennzeichnet ist, so dass der Vollzug der Wegweisung dorthin grundsätzlich zumutbar ist. Der Bundesrat hat Serbien denn auch als Heimat- oder Herkunftsstaat bezeichnet, in welchem eine Rückkehr in der Regel zumutbar ist (vgl. Art. 83 Abs. 5 AIG i.V.m. Art. 18 der Verordnung über den Vollzug der Weg- und Ausweisung sowie der Landesverweisung von ausländischen Personen [VVWAL, SR 142.281] und Anhang 2 der Verordnung). Diese gesetzliche Vermutung kann durch substanziierte Hinweise umgestossen werden (vgl. Urteil des BVGer E-1083/2018 vom 22. Januar 2020 E. 10.4).</w:t>
      </w:r>
    </w:p>
    <w:p>
      <w:r>
        <w:rPr>
          <w:b/>
        </w:rPr>
        <w:t>E. 6.3.3</w:t>
      </w:r>
    </w:p>
    <w:p>
      <w:r>
        <w:t>Das Gericht teilt die Einschätzung der Vorinstanz, dass auch keine individuellen Gründe auf eine konkrete Gefährdung der Beschwerdeführerin und ihrer Tochter im Fall einer Rückkehr schliessen lassen. Blosse soziale und wirtschaftliche Erschwernisse stellen nach konstanter Praxis der Schweizer Asylbehörden für sich alleine keine existenzbedrohende Situation im Sinn von Art. 83 Abs. 4 AIG dar (vgl. Urteil des BVGer D-1078/2015 vom 2. März 2015 E. 4.5). Die Beschwerdeführerin hat aber vor allem solche Probleme vorgetragen, wobei das Gericht, wie unter E. 6.2.5 erörtert, Vorbehalte hinsichtlich der Glaubhaftigkeit der geltend gemachten familiären Probleme hegt. Es ist ihr zuzumuten, auch weiterhin auf die Unterstützung ihrer Verwandten, namentlich des Vaters, zurückzugreifen. Die Beschwerdeführerin hat zudem nicht überzeugend darlegen können, dass sie sich um staatliche Unterstützung bemüht hat.</w:t>
      </w:r>
    </w:p>
    <w:p>
      <w:r>
        <w:rPr>
          <w:b/>
        </w:rPr>
        <w:t>E. 6.3.4</w:t>
      </w:r>
    </w:p>
    <w:p>
      <w:r>
        <w:t>Darüber hinaus lassen auch die gesundheitlichen Beeinträchtigungen nicht auf eine medizinische Notlage schliessen. In der Rechtsmittelschrift (vgl. dort S. 8) bringt die Beschwerdeführerin vor, sie habe nebst anderen namentlich in Deutschland behandelten Gebrechen bereits zwei (...) gehabt und es bestehe der Verdacht auf einen (...) im Zwölffingerdarm, wobei diesbezüglich ein Röntgentermin ausstehend sei. Zudem leide sie aktuell insbesondere an Schlafproblemen, (...), Asthma und Magenproblemen. Hinzu komme eine gravierende psychische Erkrankung, wobei die Ursache unklar und damit der Sachverhalt vom SEM ungenügend abgeklärt sei. Zu den dargelegten (...) ist festzuhalten, dass eine (...)-(...)-Untersuchung vom 29. August 2017 einen unauffälligen Befund ergab - trotz angeblich erlittenen (...) im Jahr (...) (vgl. SEM-act. [...]-27: handschriftlicher Hinweis auf der Aufnahmeuntersuchung in Deutschland vom (...); nachfolgend act. 27). Ferner wurde der Beschwerdeführerin am (...) eine (...) operativ entfernt (vgl. SEM-act. 27, S. 2 f.) und am (...) musste sie sich einer Operation am Uterus myomatosus (durch Myome vergrösserte Gebärmutter, Anmerkung BVGer; vgl. SEM-act. 27, S. 14) unterziehen. Es finden sich in den medizinischen Berichten indessen keine Hinweise darauf, dass die operativ entfernte (...) oder das (...) bösartig gewesen wären. Die Angaben der Beschwerdeführerin, sie sei wegen (...) operiert worden beziehungsweise habe sich jener Krebs vermutlich auf den Zwölffingerdarm ausgebreitet (vgl. ihre diesbezügliche Angabe im Dublin-Gespräch, SEM-act. [...]-16 und in der Rechtsmittelschrift S. 8), finden in den Akten keine Stütze. Soweit sie diesbezüglich in der Rechtsmittelschrift (S. 8) einen Röntgenbericht in Aussicht stellt, ist festzustellen, dass sie in diesem Zusammenhang nicht darlegt, welcher Arzt sie für einen Röntgentermin angemeldet habe noch bei welchem Arzt und wann sie den angeblichen Röntgentermin habe. Vor diesem Hintergrund geht das Gericht davon aus, dass es sich beim dargelegten Verdacht auf Zwölffingerdarmkrebs um eine blosse Behauptung handelt, weshalb ein in Aussicht gestellter Röntgenbericht nicht abzuwarten ist. Das Gericht stellt sodann aufgrund der Akten nicht in Abrede, dass die Beschwerdeführerin an einer psychischen Erkrankung leidet. Sie erhält denn auch aktuell aufgrund einer «depressiven Episode» Medikamente (vgl. SEM-act. [...]-12). Gleichzeitig ist festzuhalten, dass die Beschwerdeführerin wegen ihrer psychischen Probleme bereits in Serbien behandelt worden ist und sich dort während eines Monats stationär in einer psychiatrischen Klinik befand, was ihr den Angaben nach geholfen hat, sich wieder aufzufangen (vgl. SEM-act. 21 F117). Vor diesem Hintergrund hat das SEM zutreffend festgehalten, dass nicht ersichtlich ist, weshalb eine nötige ärztliche und psychiatrische Behandlung bei einer Rückkehr nicht mehr erhältlich gemacht werden könnte, zumal davon auszugehen ist, dass die Beschwerdeführerin in ihrer Heimat weiterhin registriert ist, über Identitätspapiere verfügt beziehungsweise sich eine Identitätskarte besorgen kann und damit in Serbien weiterhin Zugang zu allenfalls erforderlichen Behandlungen hat. Zudem hat sie die Möglichkeit, medizinische Rückkehrhilfe zu beantragen. Hinsichtlich einer allfälligen Gefahr der Selbstgefährdung der Beschwerdeführerin ist darauf hinzuweisen, dass vom Vollzug der Wegweisung gemäss konstanter Rechtsprechung nicht Abstand genommen wird, solange Massnahmen zwecks Verhütung der Umsetzung einer Suiziddrohung getroffen werden können (vgl. Urteil des BVGer D-3574/2016 vom 14. Juli 2016 E. 5.3.2 m.H.). Allfälligen suizidalen Tendenzen der Beschwerdeführerin wäre daher mit entsprechenden Massnahmen bei der Vollzugsorganisation Rechnung zu tragen. Auch im Übrigen wird der Gesundheitszustand der Beschwerdeführerin bei der Ausgestaltung der konkreten Vollzugsmodalitäten angemessen zu berücksichtigen sein.</w:t>
      </w:r>
    </w:p>
    <w:p>
      <w:r>
        <w:rPr>
          <w:b/>
        </w:rPr>
        <w:t>E. 6.3.5</w:t>
      </w:r>
    </w:p>
    <w:p>
      <w:r>
        <w:t>Nach dem Gesagten kann die gesetzliche Vermutung nicht durch substanziierte Hinweise umgestossen werden, weshalb sich der Vollzug der Wegweisung auch als zumutbar erweist.</w:t>
      </w:r>
    </w:p>
    <w:p>
      <w:r>
        <w:rPr>
          <w:b/>
        </w:rPr>
        <w:t>E. 6.4</w:t>
      </w:r>
    </w:p>
    <w:p>
      <w:r>
        <w:t>Mit Blick auf das vorstehend Ausgeführte erweist sich die rechtsmittelweise vorgebrachte Kritik, das SEM habe den Sachverhalt in medizinischer Hinsicht ungenügend abgeklärt, als nicht begründet. Das SEM war auch nicht verpflichtet, betreffend soziales Beziehungsnetz und Zugang zu den Strafverfolgungsbehörden sowie Sozialhilfeleistungen Abklärungen vorzunehmen. Der Rückweisungsantrag ist abzuweisen.</w:t>
      </w:r>
    </w:p>
    <w:p>
      <w:r>
        <w:rPr>
          <w:b/>
        </w:rPr>
        <w:t>E. 6.5</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das SEM den Wegweisungsvollzug zu Recht als zulässig, zumutbar und möglich bezeichnet. Eine Anordnung der vorläufigen Aufnahme fällt somit ausser Betracht (Art. 83 Abs. 1-4 AIG).</w:t>
      </w:r>
    </w:p>
    <w:p>
      <w:r>
        <w:rPr>
          <w:b/>
        </w:rPr>
        <w:t>E. 7</w:t>
      </w:r>
    </w:p>
    <w:p>
      <w:r>
        <w:t>Aus diesem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Beschwerdeführerinnen ersuchten um Gewährung der unentgeltlichen Prozessführung. Gemäss Art. 65 Abs. 1 VwVG wird eine Partei, die nicht über die erforderlichen Mittel verfügt, auf Antrag hin von der Bezahlung der Verfahrenskosten befreit, wenn ihre Begehren nicht aussichtslos erscheinen. Aus den vorstehenden Erwägungen ergibt sich, dass die Beschwerdebegehren von vornherein als aussichtslos zu bezeichnen waren, womit die Voraussetzungen für die Gewährung der unentgeltlichen Prozessführung nicht erfüllt sind. Das entsprechende Gesuch ist unbesehen der behaupteten prozessualen Bedürftigkeit abzuweisen. Das Gesuch um Verzicht auf die Erhebung eines Kostenvorschusses ist mit dem vorliegenden Urteil gegenstandslos geworden.</w:t>
      </w:r>
    </w:p>
    <w:p>
      <w:r>
        <w:rPr>
          <w:b/>
        </w:rPr>
        <w:t>E. 8.2</w:t>
      </w:r>
    </w:p>
    <w:p>
      <w:r>
        <w:t>Bei diesem Ausgang des Verfahrens sind die Kosten den Beschwerdeführerinnen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