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D-6989/2007 vom 16. Februar 2009</w:t>
      </w:r>
    </w:p>
    <w:p>
      <w:r>
        <w:t>Bundesverwaltungsgericht, 2009-02-16, DE</w:t>
      </w:r>
    </w:p>
    <w:p>
      <w:r>
        <w:rPr>
          <w:b/>
        </w:rPr>
        <w:t xml:space="preserve">Quelle: </w:t>
      </w:r>
      <w:r>
        <w:t>https://mcp.opencaselaw.ch/entscheid/bvger_D-6989_2007</w:t>
      </w:r>
    </w:p>
    <w:p>
      <w:r>
        <w:t>FR: TAF D-6989/2007 du 16 février 2009</w:t>
      </w:r>
    </w:p>
    <w:p>
      <w:r>
        <w:t>IT: TAF D-6989/2007 del 16 febbraio 2009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Zwischenverfügung des BFM vom 5. Oktober 2007 wird aufgehoben und das Bundesamt wird angewiesen, den Beschwerdeführer für den Aufenthalt während des Asylverfahrens dem Kanton C._______ zuzuweisen.</w:t>
      </w:r>
    </w:p>
    <w:p>
      <w:r>
        <w:rPr>
          <w:b/>
        </w:rPr>
        <w:t>E. 3</w:t>
      </w:r>
    </w:p>
    <w:p>
      <w:r>
        <w:t>Es werden keine Kosten erhoben.</w:t>
      </w:r>
    </w:p>
    <w:p>
      <w:r>
        <w:rPr>
          <w:b/>
        </w:rPr>
        <w:t>E. 4</w:t>
      </w:r>
    </w:p>
    <w:p>
      <w:r>
        <w:t>Das BFM wird angewiesen, dem Beschwerdeführer eine Parteientschädigung von Fr. 600.-- zu entrichten.</w:t>
      </w:r>
    </w:p>
    <w:p>
      <w:r>
        <w:rPr>
          <w:b/>
        </w:rPr>
        <w:t>E. 5</w:t>
      </w:r>
    </w:p>
    <w:p>
      <w:r>
        <w:t>Dieses Urteil geht an: die Rechtsvertreterin des Beschwerdeführers (Einschreiben) Herrn F._______ das BFM, Abteilung Empfangs- und Verfahrenszentren, mit den Akten zur Fortsetzung des Verfahrens (per Kurier; in Kopie) Der Einzelrichter: Der Gerichtsschreiber: Bendicht Tellenbach Jürg Hünerwadel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