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D-6986/2016 vom 23. November 2016</w:t>
      </w:r>
    </w:p>
    <w:p>
      <w:r>
        <w:t>Bundesverwaltungsgericht, 2016-11-23, IT</w:t>
      </w:r>
    </w:p>
    <w:p>
      <w:r>
        <w:rPr>
          <w:b/>
        </w:rPr>
        <w:t xml:space="preserve">Quelle: </w:t>
      </w:r>
      <w:r>
        <w:t>https://mcp.opencaselaw.ch/entscheid/bvger_D-6986_2016</w:t>
      </w:r>
    </w:p>
    <w:p>
      <w:r>
        <w:t>FR: TAF D-6986/2016 du 23 novembre 2016</w:t>
      </w:r>
    </w:p>
    <w:p>
      <w:r>
        <w:t>IT: TAF D-6986/2016 del 23 novembre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trasmissione degli atti di causa e di concessione di un termine per il completamento del ricorso è respinta.</w:t>
      </w:r>
    </w:p>
    <w:p>
      <w:r>
        <w:rPr>
          <w:b/>
        </w:rPr>
        <w:t>E. 2</w:t>
      </w:r>
    </w:p>
    <w:p>
      <w:r>
        <w:t>Il ricorso è respinto.</w:t>
      </w:r>
    </w:p>
    <w:p>
      <w:r>
        <w:rPr>
          <w:b/>
        </w:rPr>
        <w:t>E. 3</w:t>
      </w:r>
    </w:p>
    <w:p>
      <w:r>
        <w:t>Le misure supercautelari pronunciate il 14 novembre 2016 sono revocate.</w:t>
      </w:r>
    </w:p>
    <w:p>
      <w:r>
        <w:rPr>
          <w:b/>
        </w:rPr>
        <w:t>E. 4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5</w:t>
      </w:r>
    </w:p>
    <w:p>
      <w:r>
        <w:t>Le spese processuali di CHF 600.-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6</w:t>
      </w:r>
    </w:p>
    <w:p>
      <w:r>
        <w:t>Questa sentenza è comunicata ai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