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D-6983/2011 vom 18. Januar 2012</w:t>
      </w:r>
    </w:p>
    <w:p>
      <w:r>
        <w:t>Bundesverwaltungsgericht, 2012-01-18, DE</w:t>
      </w:r>
    </w:p>
    <w:p>
      <w:r>
        <w:rPr>
          <w:b/>
        </w:rPr>
        <w:t xml:space="preserve">Quelle: </w:t>
      </w:r>
      <w:r>
        <w:t>https://mcp.opencaselaw.ch/entscheid/bvger_D-6983_2011</w:t>
      </w:r>
    </w:p>
    <w:p>
      <w:r>
        <w:t>FR: TAF D-6983/2011 du 18 janvier 2012</w:t>
      </w:r>
    </w:p>
    <w:p>
      <w:r>
        <w:t>IT: TAF D-6983/2011 del 18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Zusammenfassung der Rechtsprechung im Urteil D-2018/2011 vom 14. September 2011 E. 7.1).</w:t>
      </w:r>
    </w:p>
    <w:p>
      <w:r>
        <w:rPr>
          <w:b/>
        </w:rPr>
        <w:t>E. 5.1</w:t>
      </w:r>
    </w:p>
    <w:p>
      <w:r>
        <w:t>Zunächst ist aufgrund der Vorbringen des Beschwerdeführers übereinstimmend mit der Vorinstanz darauf zu schliessen, dass seine Schwierigkeiten mit den äthiopischen Behörden in asylrechtlicher Hinsicht relevant erscheinen, weshalb von einer Gefährdung des Beschwerdefüh­rers im Sinne von Art. 3 AsylG auszugehen ist.</w:t>
      </w:r>
    </w:p>
    <w:p>
      <w:r>
        <w:rPr>
          <w:b/>
        </w:rPr>
        <w:t>E. 5.2</w:t>
      </w:r>
    </w:p>
    <w:p>
      <w:r>
        <w:t>Mit Blick auf die Frage, ob es dem Beschwerdeführer zugemutet wer­den kann, sich in einem anderen Drittstaat um Aufnahme zu bemühen (Art. 20 Abs. 2 und Art. 52 Abs. 2 AsylG), ergibt die Prüfung der Akten, dass sich die diesbezüglichen Erwägungen in der angefochtenen Verfü­gung (vgl. Sachverhalt Bst. G) als zutreffend erweisen. Der Beschwerdeführer befindet sich gemäss seinen Angaben in der Eingabe vom 2. Juli 2011 seit Februar 1993 (vgl. act. A 8/6 S. 1), also seit beinahe 19 Jahren im Sudan, wo er vom UNHCR als Flüchtling registriert ist. Es mag zutreffen, dass es im Sudan in vereinzelten Fällen zu Entführungen von ehemaligen Mitgliedern der OLF gekommen ist. Die Tatsache indessen, dass der Beschwerdeführer seit beinahe 19 Jahren als Flüchtling im Sudan lebt, spricht im Ergebnis allerdings dagegen, dass hinsichtlich seiner Person diesbezüglich eine konkrete Gefahr besteht. Soweit der Beschwerdeführer behauptet, seitens des UNHCR und der COR keine medizinische Hilfe erhalten zu haben, geht aus den von ihm am 2. Juli 2011 eingereichten Dokumenten (vgl. Sachverhalt Bst. E) her­vor, dass er im Sudan medizinisch behandelt worden ist. Dies erscheint umso bemerkenswerter, als die medizinische Behandlung des Beschwerdeführers erfolgte, obwohl er sich eigenen Angaben zufolge nie in einem sudanesischen Flüchtlingslager aufgehalten hat, wo sich Flücht­linge im Sudan grundsätzlich aufzuhalten hätten. Die Tatsache, dass der Beschwerdeführer in Sudan allem Anschein nach und entgegen seinen Behauptungen auf Fürsprache des UNHCR hin medizinisch behandelt worden ist, lässt auch gewisse Zweifel daran aufkommen, dass er aktuell tatsächlich im Gefängnis inhaftiert ist. Darüber hinaus gründet eine eventuelle Inhaftierung des Beschwerdeführers im Sudan mutmasslich gerade darin, dass er sich bis anhin offensichtlich geweigert hat, sich in dem ihm zugewiesenen Flüchtlingslager aufzuhalten. Dass sich der UNHCR in keiner Weise für seine Freilassung eingesetzt hätte, ist Übri­gen eine blosse Behauptung des Beschwerdeführers, welche zudem mit dem Erkenntnis des Bundesverwaltungsgerichts, wonach der UNHCR durchaus bemüht ist, im Sudan verhaftete Flüchtlinge juristisch zu unterstützen und deren Freilassung zu erwirken, in Widerspruch steht. Es wäre dem Beschwerdeführer deshalb grundsätzlich zuzumuten, sich künftig in dem ihm zugewiesenen Flüchtlingslager aufzuhalten, um allfäl­lige weitere Inhaftierungen zu vermeiden. Im vorliegenden Fall tritt hinzu, dass der Beschwerdeführer zusammen mit seiner Frau und seinem Kind im Sudan lebt und keinerlei Anhaltspunkte für eine besondere Beziehungsnähe des Beschwerdeführers zur Schweiz bestehen. Eine Abwägung der Gesamtumstände im Sinne von Art. 52 Abs. 2 AsylG führt somit im vorliegenden Fall zum Schluss, dass dem Beschwerdeführer ein Verbleib im Sudan zuzumuten ist.</w:t>
      </w:r>
    </w:p>
    <w:p>
      <w:r>
        <w:rPr>
          <w:b/>
        </w:rPr>
        <w:t>E. 5.3</w:t>
      </w:r>
    </w:p>
    <w:p>
      <w:r>
        <w:t>Zusammenfassend ergibt sich, dass die angefochtene Verfügung Bundesrecht nicht verletzt, den rechtserheblichen Sachverhalt richtig und vollständig feststellt und angemessen ist (Art. 106 Abs. 1 AsylG). Das BFM hat das Asylgesuch des Beschwerdeführers aus dem Ausland zu Recht abgelehnt und ihm die Einreise in die Schweiz verweigert. Die Be­schwerde ist deshalb abzuweisen.</w:t>
      </w:r>
    </w:p>
    <w:p>
      <w:r>
        <w:rPr>
          <w:b/>
        </w:rPr>
        <w:t>E. 6</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