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D-6976/2009 vom 21. Dezember 2009</w:t>
      </w:r>
    </w:p>
    <w:p>
      <w:r>
        <w:t>Bundesverwaltungsgericht, 2009-12-21, DE</w:t>
      </w:r>
    </w:p>
    <w:p>
      <w:r>
        <w:rPr>
          <w:b/>
        </w:rPr>
        <w:t xml:space="preserve">Quelle: </w:t>
      </w:r>
      <w:r>
        <w:t>https://mcp.opencaselaw.ch/entscheid/bvger_D-6976_2009</w:t>
      </w:r>
    </w:p>
    <w:p>
      <w:r>
        <w:t>FR: TAF D-6976/2009 du 21 décembre 2009</w:t>
      </w:r>
    </w:p>
    <w:p>
      <w:r>
        <w:t>IT: TAF D-6976/2009 del 21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Gemäss Art. 62 Abs. 4 VwVG ist das Bundesverwaltungsgericht als Beschwerdeinstanz an die rechtliche Begründung der Begehren nicht gebunden. Die Beschwerdeinstanz darf also ihren Entscheid anders begründen als die Parteien oder die Vorinstanz (vgl. ALFRED KÖLZ/ISABELLE HÄNER, Verwaltungsverfahren und Verwaltungsrechtspflege des Bundes, Zürich, 2. Auflage, 1998, S. 240, Rz. 677). Nach dem Grundsatz der Rechtsanwendung von Amtes wegen ist es vielmehr verpflichtet, auf den festgestellten Sachverhalt jenen Rechtssatz anzuwenden, den es als den zutreffenden erachtet, und ihm jene Auslegung zu geben, von der es überzeugt ist (vgl. BGE 119 V 347 E. 1a). Dies bedeutet, dass es eine Beschwerde auch aus einem anderen als den geltend gemachten Gründen gutheissen oder den angefochtenen Entscheid im Ergebnis mit einer Begründung bestätigen kann, die von jener der Vorinstanz abweicht (sogenannte Motivsubstitution, vgl. Entscheidungen und Mitteilungen der Schweizerischen Asylrekurskommission [EMARK] 1994 Nr. 29 E.3).</w:t>
      </w:r>
    </w:p>
    <w:p>
      <w:r>
        <w:rPr>
          <w:b/>
        </w:rPr>
        <w:t>E. 5.2</w:t>
      </w:r>
    </w:p>
    <w:p>
      <w:r>
        <w:t>Das Bundesverwaltungsgericht setzte den Beschwerdeführer mit Verfügung vom 18. November 2009 über die beabsichtigte Motivsubstitution (Überprüfung seiner Asylvorbringen auch auf die Glaubhaftigkeit gemäss Art. 7 AsylG) in Kenntnis und forderte ihn auf, sich diesbezüglich zu äussern. Mit Eingabe vom 4. Dezember 2009 (Poststempel) liess sich der Beschwerdeführer fristgerecht vernehmen und ergänzte seine Stellungnahme mit diversen Artikeln zur allgemeinen Lage in der Türkei speziell zur Situation sexueller Minderheiten beziehungsweise Homosexueller.</w:t>
      </w:r>
    </w:p>
    <w:p>
      <w:r>
        <w:rPr>
          <w:b/>
        </w:rPr>
        <w:t>E. 5.3</w:t>
      </w:r>
    </w:p>
    <w:p>
      <w:r>
        <w:t>Der Beschwerdeführer bringt vor, er habe schon in seiner Jugendzeit bemerkt, dass er eher ein Neigung zu Jungen als zu Mädchen habe. Seit dem Jahr 2006 sei er in seiner Heimat mit einem Mann befreundet. Diese heimlich gelebte homosexuelle Liaison sei Ende 2008 durch einen Onkel des Beschwerdeführers bemerkt worden. Seither sei der Beschwerdeführer seitens seiner konservativen und streng religiösen Familie massiv unter Druck - sein Vater habe gar eine Todesdrohung ausgesprochen - gesetzt worden, weshalb er am 19. Juli 2009 seine Heimat verlassen habe. Er könne nicht in seine Heimat zurückkehren, weil er sich vor seiner Familie fürchte und diese ihn bei einer Rückkehr überall in der Türkei ausfindig machen könne. Zur Untermauerung seiner Vorbringen reichte der Beschwerdeführer eine grosse Anzahl von Berichten zu den Akten, welche die schwierige und gefährliche Situation von geouteten Homosexuellen sowie Transvestiten zeigten aber auch von Ehren- und Hassmorden an Schwulen berichteten. Auch in seiner Stellungnahme zur beabsichtigen Motivsubstitution des Bundesverwaltungsgerichts reichte der Beschwerdeführer wiederum zahlreiche Artikel zur schwierigen Lage von Homosexuellen in der Türkei ein und zeigte anhand von Einzelschicksalen auf, wie grausam in der Türkei mit Schwulen umgegangen werde und wie willkürlich die Polizei diesbezüglich handle.</w:t>
      </w:r>
    </w:p>
    <w:p>
      <w:r>
        <w:rPr>
          <w:b/>
        </w:rPr>
        <w:t>E. 5.4</w:t>
      </w:r>
    </w:p>
    <w:p>
      <w:r>
        <w:t>Der Beschwerdeführer kann jedoch nicht glaubhaft vorbringen, dass er homosexuell ist. So erstaunt es, weshalb er seinen angeblichen Freund - der in demselben konservativen und streng religiösen Milieu wie der Beschwerdeführer leben soll (vgl. A10, S. 4) - in der Türkei seinem eigenen Schicksal überlassen hat und sie nicht gemeinsam geflüchtet sind. Überdies gab der Beschwerdeführer als homosexuell praktizierte Handlung einzig das Küssen seines Freundes an und dies obwohl das Paar schon seit mehr als zwei Jahren vor der Ausreise des Beschwerdeführers angeblich eine Beziehung geführt habe. Aus diesen Gründen bestehen erhebliche Zweifel an der homosexuellen Neigung des Beschwerdeführers. Auch in seiner Stellungnahme vom 4. Dezember 2009 bringt er nichts Substanzielles und objektiv Verwertbares vor, das zu einer anderen Beurteilung führen könnte. Die Vorbringen des Beschwerdeführers betreffend seine homosexuelle Neigung und das Ausleben dieser mit seinem türkischen Freund halten aus diesen Gründen den Anforderungen an die Glaubhaftmachung gemäss Art. 7 AsylG nicht stand.</w:t>
      </w:r>
    </w:p>
    <w:p>
      <w:r>
        <w:rPr>
          <w:b/>
        </w:rPr>
        <w:t>E. 5.5</w:t>
      </w:r>
    </w:p>
    <w:p>
      <w:r>
        <w:t>Im Übrigen kann bezüglich der fehlenden Asylrelevanz der Vorbringen des Beschwerdeführers auf die zutreffenden Ausführungen der Vorinstanz verwiesen werden. Selbst bei Wahrunterstellung der Homosexualität des Beschwerdeführers ist anzumerken, dass weder diese noch homosexuelle Handlungen in der Türkei unter Strafe gestellt sind. Nach der Praxis des Bundesverwaltungsgerichts wird selbst in Bezug auf den streng islamischen Staat Iran die Asylrelevanz der Homosexualität verneint, obwohl diese dort - im Gegensatz zur Türkei - illegal ist und die Scharia formell - wobei die Beweisanforderungen hoch sind - sogar die Todesstrafe dafür vorsieht (siehe dazu beispielsweise die Urteile des Bundesverwaltungsgerichtes D-4299/2006 vom 12. Dezember 2008 E. 5.2.3, D-4300/2006 vom 22. Dezember 2008 E. 5.2.3 und E-4396/2006 vom 3. Juli 2009 E. 5.2.1). Betreffend die vorgebrachten Probleme, die ihn bei der Leistung des Militärdienstes erwarten würden, ist festzuhalten, dass der Beschwerdeführer bis heute weder einen Termin für die militärische Musterung noch ein Aufgebot für die Leistung zum Militärdienst erhielt beziehungsweise keine diesbezüglichen Dokumente den Behörden abgegeben hat. Folglich sind weder militärische Musterung noch Militärdiensttauglichkeit belegt. Der Beschwerdeführer hat somit keine begründete Furcht vor zukünftigen asylbeachtlichen Massnahmen seitens der türkischen Behörden.</w:t>
      </w:r>
    </w:p>
    <w:p>
      <w:r>
        <w:rPr>
          <w:b/>
        </w:rPr>
        <w:t>E. 5.6</w:t>
      </w:r>
    </w:p>
    <w:p>
      <w:r>
        <w:t>Das Bundesverwaltungsgericht kommt zum Schluss, dass die Ausführungen in der Beschwerde vom 9. November 2009 und in der Stellungnahme vom 4. Dezember 2009 nicht geeignet sind, die Erwägungen der Vorinstanz zu entkräften. Bei dieser Sachlage erübrigt es sich, auf die weiteren Ausführungen in der Beschwerde sowie auf die als Beweismittel eingereichten Dokumente näher einzugehen, zumal sie nicht zu einer anderen Beurteilung zu führen vermögen. Es ergibt sich, dass der Beschwerdeführer weder Gründe nach Art. 3 AsylG nachweisen oder im Sinne von Art. 7 AsylG glaubhaft machen konnte.</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Vorliegend sind keine Anhaltspunkte ersichtlich, wonach der Beschwerdeführer bei einer Rückkehr in die Türkei aufgrund der allgemeinen Lage einer konkreten Gefährdung ausgesetzt wäre. Das Bundesverwaltungsgericht erachtet den Wegweisungsvollzug in die Türkei gestützt auf die allgemeine Lage als generell zumutbar (vgl. EMARK 2005 Nr. 21).</w:t>
      </w:r>
    </w:p>
    <w:p>
      <w:r>
        <w:rPr>
          <w:b/>
        </w:rPr>
        <w:t>E. 7.4.2</w:t>
      </w:r>
    </w:p>
    <w:p>
      <w:r>
        <w:t>Bei einer Gesamtwürdigung der aktuellen Situation in der Türkei bestehen auch keine individuellen Hinweise darauf, dass der junge und gemäss Aktenlage gesunde Beschwerdeführer dort einer konkreten Gefährdung im Sinne von Art. 83 Abs. 4 AuG ausgesetzt sein könnte. Es ist dem Beschwerdeführer - bei Wahrunterstellung seiner Homosexualität - unbenommen, der Enge des konservativ und streng religiösen Dorfmilieus durch einen Wohnortswechsel in die liberalere und tolerantere Metropole Istanbul zu entfliehen, damit er seine angeblichen sexuellen Neigungen anonymer ausleben kann. Selbst bei Wahrunterstellung seiner gelebten Homosexualität ist es ihm deshalb zuzumuten, sich in der Türkei, beispielsweise in Istanbul, niederzulassen, wo entsprechende Netzwerke ihm behilflich sein können. Das Stadtviertel Tarlabasi beispielsweise ist unter anderem mit Transvestiten bevölkert, (vgl. Mona Sarkis, Sicher wohnen auf Türkisch, Neue Zürcher Zeitung Online vom 12. November 2009, &lt;http://www.nzz.ch/nachrichten/kultur/aktuell/sicher_wohnen_auf_tuerkisch_1.3999468.html&gt; [besucht am 12. November 2009]) weshalb es für den Beschwerdeführer - der im Gegensatz zu einem Transvestiten kein auffälliges Aussehen aufweist - auch möglich sein sollte, sich unbehelligt in Istanbul aufzuhalten. Zudem verfügt der Beschwerdeführer über eine solide Schulbildung und mehrjährige Berufserfahrung als Coiffeur, weshalb nicht davon auszugehen ist, dass er bei einer Rückkehr in seine Heimat in eine existenzbedrohende Lage geraten könnte.</w:t>
      </w:r>
    </w:p>
    <w:p>
      <w:r>
        <w:rPr>
          <w:b/>
        </w:rPr>
        <w:t>E. 7.4.3</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3. Dezember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