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D-696/2018 vom 28. Februar 2018</w:t>
      </w:r>
    </w:p>
    <w:p>
      <w:r>
        <w:t>Bundesverwaltungsgericht, 2018-02-28, DE</w:t>
      </w:r>
    </w:p>
    <w:p>
      <w:r>
        <w:rPr>
          <w:b/>
        </w:rPr>
        <w:t xml:space="preserve">Quelle: </w:t>
      </w:r>
      <w:r>
        <w:t>https://mcp.opencaselaw.ch/entscheid/bvger_D-696_2018</w:t>
      </w:r>
    </w:p>
    <w:p>
      <w:r>
        <w:t>FR: TAF D-696/2018 du 28 février 2018</w:t>
      </w:r>
    </w:p>
    <w:p>
      <w:r>
        <w:t>IT: TAF D-696/2018 del 28 febbraio 2018</w:t>
      </w:r>
    </w:p>
    <w:p>
      <w:pPr>
        <w:pStyle w:val="Heading2"/>
      </w:pPr>
      <w:r>
        <w:t>Regeste</w:t>
      </w:r>
    </w:p>
    <w:p>
      <w:r>
        <w:t>Familienzusammenführung (Asyl)</w:t>
      </w:r>
    </w:p>
    <w:p>
      <w:pPr>
        <w:pStyle w:val="Heading2"/>
      </w:pPr>
      <w:r>
        <w:t>Erwägungen</w:t>
      </w:r>
    </w:p>
    <w:p>
      <w:r>
        <w:rPr>
          <w:b/>
        </w:rPr>
        <w:t>E. 1.1</w:t>
      </w:r>
    </w:p>
    <w:p>
      <w:r>
        <w:t>Das Bundesverwaltungsgericht beurteilt gestützt auf Art. 31 des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daher - unter Vorbehalt der nachfolgenden Erwägung unter E. 3 -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im vorliegenden Fall auf die Durchführung eines Schriftenwechsels verzichtet.</w:t>
      </w:r>
    </w:p>
    <w:p>
      <w:r>
        <w:rPr>
          <w:b/>
        </w:rPr>
        <w:t>E. 4</w:t>
      </w:r>
    </w:p>
    <w:p>
      <w:r>
        <w:t>Der in der Beschwerde unter Ziffer 2 gestellte Eventualantrag, wonach die Verfügung vom 25. Oktober 2017 (recte: gemeint ist wohl die Verfügung vom 3. Januar 2018) aufzuheben und die Sache zur Neubeurteilung an die Vorinstanz zurückzuweisen sei, wird seitens des Beschwerdeführers nicht näher begründet. Da die angefochtene Verfügung nach Auffassung des Gerichts an keinen offensichtlichen formellen Mängeln leidet, welche eine Kassation rechtfertigen würden, ist auf diesen Antrag nicht einzutreten.</w:t>
      </w:r>
    </w:p>
    <w:p>
      <w:r>
        <w:rPr>
          <w:b/>
        </w:rPr>
        <w:t>E. 5.1</w:t>
      </w:r>
    </w:p>
    <w:p>
      <w:r>
        <w:t>Gemäss Art. 51 Abs. 1 AsylG werden Ehegatten und minderjährige Kinder eines Flüchtlings, die in eigener Person die Flüchtlingseigenschaft nicht erfüllen, in die Flüchtlingseigenschaft ihres Ehepartners respektive Elternteils einbezogen und erhalten Asyl, wenn keine besonderen Umstände dagegen sprechen. Art. 51 Abs. 3 AsylG statuiert dieselbe Rechtsfolge für in der Schweiz geborene Kinder von Flüchtlingen.</w:t>
      </w:r>
    </w:p>
    <w:p>
      <w:r>
        <w:rPr>
          <w:b/>
        </w:rPr>
        <w:t>E. 5.2</w:t>
      </w:r>
    </w:p>
    <w:p>
      <w:r>
        <w:t>Ein besonderer Umstand kann gemäss langjähriger Praxis des Bundesverwaltungsgerichts und seiner Vorgängerorganisation, der Schweizerischen Asylrekurskommission (ARK), unter anderem dann vorliegen, wenn die in die Flüchtlingseigenschaft einzubeziehende Person eine andere Staatsangehörigkeit besitzt als die als Flüchtling anerkannte Person. Namentlich kann die Tatsache, dass ein Familienangehöriger eines anerkannten Flüchtlings im Besitz einer anderen Staatsangehörigkeit ist, grundsätzlich einen "besonderen Umstand" im Sinne von Art. 51 Abs. 1 und 3 AsylG darstellen und somit dem Einbezug in die Flüchtlingseigenschaft entgegenstehen. Wenn der Einbezug eines Kindes respektive Ehepartners in die Flüchtlingseigenschaft des Elternteils beziehungsweise Ehegatten aufgrund des vorstehend erwähnten Umstandes unterschiedlicher Nationalitäten verweigert wird, so muss sodann praxisgemäss - in hypothetischer Weise - geprüft werden, ob sich die ganze Familie gegebenenfalls im Heimatland des nicht verfolgten Ehepartners niederlassen könnte (vgl. zum Ganzen beispielsweise BVGE 2012/32 E. 5.1 sowie das Urteil des Bundesverwaltungsgerichts E-1683/2013 vom 21. April 2015 E. 6.2.4, mit weiteren Hinweisen, namentlich auf Entscheidungen und Mitteilungen der AKR [EMARK] 1996 Nr. 14 E. 7 b).</w:t>
      </w:r>
    </w:p>
    <w:p>
      <w:r>
        <w:rPr>
          <w:b/>
        </w:rPr>
        <w:t>E. 6.1</w:t>
      </w:r>
    </w:p>
    <w:p>
      <w:r>
        <w:t>Für den vorliegenden Fall ist vorab festzustellen, dass das Kindsverhältnis zwischen dem Beschwerdeführer und B._______ nicht strittig ist. Das SEM hat den Einbezug des Sohnes B._______ in die Flüchtlingseigenschaft des Beschwerdeführer jedoch vorliegend mit der Begründung abgelehnt, es stehe der Familie frei, das Familienleben im tatsächlichen (aber den Asylbehörden unbekannten) Heimatstaat der Mutter fortzuführen.</w:t>
      </w:r>
    </w:p>
    <w:p>
      <w:r>
        <w:rPr>
          <w:b/>
        </w:rPr>
        <w:t>E. 6.2</w:t>
      </w:r>
    </w:p>
    <w:p>
      <w:r>
        <w:t>Wie in der Beschwerde zu Recht bemerkt wird, stellt der Einbezug eines Kindes in die Flüchtlingseigenschaft seines (originär) als Flüchtling anerkannten Elternteils gemäss der gesetzlichen Konzeption von Art. 51 Abs. 1 und 3 AsylG den Regelfall dar. Das Bejahen besonderer Umstände, die einem Einbezug entgegenstehen, ist demgegenüber als Ausnahmeklausel zu verstehen, deren Auslegung restriktiv zu handhaben ist. Der vom SEM angerufene, vorstehend unter E. 4.2 beschriebene besondere Umstand der unterschiedlichen Nationalitäten setzt sodann gemäss ständiger Rechtsprechung voraus, dass der einzubeziehende Angehörige eine andere Staatsangehörigkeit besitzt als der anerkannte Flüchtling.</w:t>
      </w:r>
    </w:p>
    <w:p>
      <w:r>
        <w:rPr>
          <w:b/>
        </w:rPr>
        <w:t>E. 6.3</w:t>
      </w:r>
    </w:p>
    <w:p>
      <w:r>
        <w:t>Der Beschwerdeführer verfügt im vorliegenden Fall über die Staatsangehörigkeit von China (Volksrepublik). Hingegen ist die Staatsangehörigkeit seines Sohnes B._______ (und auch der Mutter C._______) den Akten zufolge ungeklärt beziehungsweise unbekannt (vgl. dazu das Rubrum der angefochtenen Verfügung sowie der Eintrag im aktenkundigen Zivilstandsregisterauszug und im Zentralen Migrationsinformationssystem [ZEMIS]). Folglich ist davon auszugehen, dass B._______ gegenwärtig weder die chinesische noch eine andere Staatsbürgerschaft besitzt. Ferner ist zu berücksichtigen, dass hinsichtlich der Mutter von B._______ zwar festgestellt wurde, es sei ihr nicht gelungen, die behauptete chinesische Staatsangehörigkeit glaubhaft zu machen; hingegen ist es mit Blick auf die Feststellungen in BVGE 2014/12 E. 5.6-5.8 keineswegs sicher, dass sie tatsächlich über eine andere als die chinesische Staatsangehörigkeit verfügt. In jenem Entscheid - auf welchen im Übrigen auch in dem die Mutter betreffenden Beschwerdeurteil vom 26. September 2014 verwiesen wird (vgl. D-3345/2014) - kommt das Gericht nach einer eingehenden Analyse der Situation von Exil-Tibeterinnen und -Tibetern in Nepal und Indien zum Schluss, dass es unter engen Voraussetzungen für diese zwar möglich sei, die entsprechende Staatsangehörigkeit zu erwerben, womit die chinesische Staatsangehörigkeit durch den Erwerb einer neuen Staatsangehörigkeit wegfallen würde. Dennoch müsse aber davon ausgegangen werden, dass ein grosser Teil der in Nepal und Indien lebenden Exil-Tibeterinnen und -Tibeter keine neue Staatsangehörigkeit erworben hätten und nach wie vor die chinesische Staatsangehörigkeit besässen. Selbst wenn die Mutter von B._______ mithin tatsächlich nicht in China, sondern in einer exiltibetischen Gemeinschaft ausserhalb der Volksrepublik China (namentlich in Nepal oder Indien) sozialisiert worden ist, worauf die im Rahmen ihres Asylverfahrens durchgeführte Lingua-Analyse hinweist, ist damit demzufolge noch nicht erwiesen, dass sie auch effektiv die Staatsangehörigkeit eines der in Frage kommenden Länder erworben hat. Ebenso wenig ist damit gesichert, dass beziehungsweise ob der Beschwerdeführer und der gemeinsame Sohn im fraglichen Land ein dauerhaftes Anwesenheitsrecht erhalten würden, zumal der Beschwerdeführer und die Kindsmutter offensichtlich nicht verheiratet sind. Die Erwägung des SEM, wonach das Familienleben im Heimat- respektive Herkunftsstaat der Mutter fortgeführt werden könne, ist damit rein hypothetischer Natur. Die chinesische Staatsangehörigkeit des Beschwerdeführers und Vaters von B._______ steht demgegenüber fest. B._______ hätte damit theoretisch die Möglichkeit, anstelle der nach wie vor unbekannten Staatsangehörigkeit seiner Mutter die als gesichert geltende Staatsangehörigkeit des Beschwerdeführers zu erwerben. Vor dem Hintergrund der vorstehend in E. 6.2 dargelegten gesetzlichen Konzeption von Art. 51 Abs. 1 und 3 AsylG, wonach der Einbezug eines Kindes in die Flüchtlingseigenschaft seines als Flüchtling anerkannten Elternteils die Regel und das Bejahen besonderer Umstände, die einem Einbezug entgegenstehen, die Ausnahme sein soll, erscheint es unter den vorliegenden, konkreten Umständen naheliegend, dass B._______ die als gesichert geltende Staatsangehörigkeit seines Vaters - des Beschwerdeführers - erwerben würde. Der einzubeziehende Angehörige (B._______) hätte damit dieselbe Staatsangehörigkeit wie der anerkannte Flüchtling (der Beschwerdeführer). Da der Sohn des Beschwerdeführers somit hypothetisch die bekannte Staatsangehörigkeit des Beschwerdeführers erlangen könnte, erscheint es nicht als gerechtfertigt, ihn aufgrund der ebenfalls bloss hypothetischen, aber darüber hinaus unrealistischeren Möglichkeit des Erwerbs der (unbekannten) Nationalität seiner Mutter und der daraus hypothetisch resultierenden unterschiedlichen Staatsangehörigkeit nicht in die Flüchtlingseigenschaft seines Vaters einzubeziehen (vgl. zum Ganzen auch die Urteile des BVGer E-2544/2017 vom 6. Juni 2017 E. 4.3 und E-1683/2013 vom 21. April 2015 E. 7).</w:t>
      </w:r>
    </w:p>
    <w:p>
      <w:r>
        <w:rPr>
          <w:b/>
        </w:rPr>
        <w:t>E. 6.4</w:t>
      </w:r>
    </w:p>
    <w:p>
      <w:r>
        <w:t>Gestützt auf die vorstehenden Erwägungen ist das Vorliegen eines besonderen Umstandes im Sinne von Art. 51 Abs. 1 respektive Abs. 3 AsylG zu verneinen.</w:t>
      </w:r>
    </w:p>
    <w:p>
      <w:r>
        <w:rPr>
          <w:b/>
        </w:rPr>
        <w:t>E. 7</w:t>
      </w:r>
    </w:p>
    <w:p>
      <w:r>
        <w:t>Nach dem Gesagten ist festzustellen, dass das SEM in seiner Verfügung vom 3. Januar 2018 zu Unrecht erwogen hat, es lägen besondere Umstände vor, die einem Einbezug des Sohnes des Beschwerdeführers in dessen Flüchtlingseigenschaft entgegenstünden. Die Beschwerde ist demnach gutzuheissen, die angefochtene Verfügung aufzuheben und das SEM anzuweisen, den Sohn des Beschwerdeführers, B._______, gestützt auf Art. 51 Abs. 3 AsylG als ein in der Schweiz geborenes Kind eines anerkannten Flüchtlings in die Flüchtlingseigenschaft des Beschwerdeführers einzubeziehen, ihn (derivativ) als Flüchtling anzuerkennen und ihn wegen Unzulässigkeit des Wegweisungsvollzugs in der Schweiz vorläufig aufzunehmen.</w:t>
      </w:r>
    </w:p>
    <w:p>
      <w:r>
        <w:rPr>
          <w:b/>
        </w:rPr>
        <w:t>E. 8.1</w:t>
      </w:r>
    </w:p>
    <w:p>
      <w:r>
        <w:t>Angesichts des vorliegenden direkten Entscheids in der Hauptsache ist das Gesuch um Verzicht auf die Erhebung eines Kostenvorschusses gegenstandslos geworden.</w:t>
      </w:r>
    </w:p>
    <w:p>
      <w:r>
        <w:rPr>
          <w:b/>
        </w:rPr>
        <w:t>E. 8.2</w:t>
      </w:r>
    </w:p>
    <w:p>
      <w:r>
        <w:t>Bei diesem Ausgang des Verfahrens sind keine Kosten aufzuerlegen (vgl. Art. 63 Abs. 1 und 2 VwVG). Das in der Beschwerde gestellte Gesuch um Gewährung der vollumfänglichen unentgeltlichen Rechtspflege ist damit ebenfalls gegenstandslos geworden.</w:t>
      </w:r>
    </w:p>
    <w:p>
      <w:r>
        <w:rPr>
          <w:b/>
        </w:rPr>
        <w:t>E. 8.3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des Rechtsvertreters vom 7. Februar 2018 ausgewiesene Aufwand von 4 Stunden und 45 Minuten sowie die Auslagen in der Höhe von Fr. 15.30 sind als angemessen zu erachten. Der ausgewiesene Stundenansatz von Fr. 250.- ist reglementskonform (vgl. Art. 10 Abs. 2 VGKE). Das SEM ist demnach anzuweisen, dem Beschwerdeführer für das Verfahren vor dem Bundesverwaltungsgericht eine Parteientschädigung von insgesamt Fr. 1'203.-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