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D-6964/2010 vom 29. Juli 2011</w:t>
      </w:r>
    </w:p>
    <w:p>
      <w:r>
        <w:t>Bundesverwaltungsgericht, 2011-07-29, DE</w:t>
      </w:r>
    </w:p>
    <w:p>
      <w:r>
        <w:rPr>
          <w:b/>
        </w:rPr>
        <w:t xml:space="preserve">Quelle: </w:t>
      </w:r>
      <w:r>
        <w:t>https://mcp.opencaselaw.ch/entscheid/bvger_D-6964_2010</w:t>
      </w:r>
    </w:p>
    <w:p>
      <w:r>
        <w:t>FR: TAF D-6964/2010 du 29 juillet 2011</w:t>
      </w:r>
    </w:p>
    <w:p>
      <w:r>
        <w:t>IT: TAF D-6964/2010 del 29 luglio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VGG). Gestützt auf Art. 111a Abs. 1 AsylG kann das Bundesverwaltungsgericht auch in solchen Fällen auf die Durchführung eines Schriftenwechsels verzichten.</w:t>
      </w:r>
    </w:p>
    <w:p>
      <w:r>
        <w:rPr>
          <w:b/>
        </w:rPr>
        <w:t>E. 4</w:t>
      </w:r>
    </w:p>
    <w:p>
      <w:r>
        <w:t>Die Beschwerde richtet sich gemäss der Rechtsbegehren sowie der Begründung ausschliesslich gegen den Vollzug der von der Vorinstanz verfügten Wegweisung. Die Verfügung des BFM vom 17. September 2010 ist, soweit sie die Frage des Nichteintretens auf das Asylgesuch des Beschwerdeführers betrifft (Ziff. 1 des Dispositivs der vorinstanzlichen Verfügung), in Rechtskraft erwachsen, und auch die Anordnung der Wegweisung (Ziff. 2 des Dispositivs)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erachtet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5.2</w:t>
      </w:r>
    </w:p>
    <w:p>
      <w:r>
        <w:t>Der Vollzug der Wegweisung ist in Beachtung der massgeblichen völker- und landesrechtlichen Bestimmungen zulässig, da der Beschwerdeführer (mangels Anfechtung) keine Verfolgung oder begründete Furcht vor Nachteilen darzulegen vermag, welche geeignet wären seine Flüchtlingseigenschaft zu begründen.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In Bezug auf die allgemeine Lage in Afghanistan kann auf die vom Bundesverwaltungsgericht vorgenommene Einschätzung der Lage in einem vor kurzem ergangenen, zur Publikation vorgesehenen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5.3.3</w:t>
      </w:r>
    </w:p>
    <w:p>
      <w:r>
        <w:t>Der Beschwerdeführer stammt aus F._______ (Provinz Daikondi). Gemäss der soeben dargelegten Rechtsprechung des Bundesverwaltungsgerichts ist von der Unzumutbarkeit des Wegweisungsvollzugs dorthin auszugehen.</w:t>
      </w:r>
    </w:p>
    <w:p>
      <w:r>
        <w:rPr>
          <w:b/>
        </w:rPr>
        <w:t>E. 5.3.4</w:t>
      </w:r>
    </w:p>
    <w:p>
      <w:r>
        <w:t>Bei dieser Sachlage stellt sich die Frage, ob dem Beschwerdeführer allenfalls eine Aufenthaltsalternative in Kabul zur Verfügung steht. Die Bejahung einer zumutbaren innerstaatlichen Aufenthaltsalternative in Kabul setzt insbesondere die dortige Existenz eines tragfähigen Beziehungsnetzes, die konkrete Möglichkeit der Sicherung des Existenzminimums sowie eine gesicherte Wohnsituation voraus (vgl. das zur Publikation vorgesehene Grundsatzurteil des Bundesverwaltungsgerichts E-7625/2008 vom 16. Juni 2011 E. 9.9.2 mit Verweis auf EMARK 2003 Nr. 10 E. 10 cc).</w:t>
      </w:r>
    </w:p>
    <w:p>
      <w:r>
        <w:rPr>
          <w:b/>
        </w:rPr>
        <w:t>E. 5.3.5</w:t>
      </w:r>
    </w:p>
    <w:p>
      <w:r>
        <w:t>Anlässlich der Kurzbefragung vom 6. September 2010 machte der junge Beschwerdeführer geltend, sein Bruder und zwei seiner Schwestern hätten zum Zeitpunkt seiner Ausreise in Kabul gelebt (Akten BFM D 2/10, S. 3). Ob es sich bei seinen in Kabul wohnhaften Schwestern lediglich um Halbschwestern oder um Schwestern handelt, kann vorliegend bezüglich der Zumutbarkeit des Vollzugs der Wegweisung letztlich offen gelassen werden. Der Einwand des Beschwerdeführers in der Beschwerde, wonach er bei seinen Schwestern in Kabul sehr unwillkommen wäre, da sie verheiratet seien, überzeugt schon deshalb nicht, da im Kulturkreis des Beschwerdeführers in aller Regel eine grosse familiäre Verbundenheit herrscht, weswegen anzunehmen ist, er werde bei einer Rückkehr nach Kabul von den Familien seiner Schwestern unterstützt. Davon ist vorliegend umso mehr auszugehen, da der Beschwerdeführer bei der Anhörung im Rahmen des ersten Asylgesuchs vorbrachte, der Mann einer seiner Schwestern in Kabul sei sein Cousin (Akten BFM A 23/9, S. 5). Auch aufgrund dieser nahen verwandtschaftlichen Beziehung zwischen dem Beschwerdeführer und dem Mann seiner Schwester ist anzunehmen, dass von einem tragfähigen sozialen Netz auszugehen ist. Beim Einwand des Beschwerdeführers in der Rechtsmittelschrift, dass er schon seit längerer Zeit keine Nachrichten mehr aus Afghanistan erhalten habe, so dass nicht als gesichert angesehen werden könne, dass seine beiden Schwestern noch immer in Kabul wohnen würden, handelt es sich um eine durch nichts gestützte Parteibehauptung. Gleich verhält es sich mit dem Vorbringen des Beschwerdeführers, wonach er nichts über den aktuellen Verbleib seines Bruders wisse. Mangels anderweitiger verlässlicher Anhaltspunkte ist daher davon auszugehen, dass zwei Schwestern, ein Bruder sowie ein Cousin des Beschwerdeführers nach wie vor in Kabul leben, womit der Beschwerdeführer dort über ein tragfähiges Beziehungsnetz verfügt, welches ihm bei der Integration in dieser Stadt behilflich sein wird. Insbesondere ist anzunehmen, dass er nach seiner Rückkehr nach Kabul zu Beginn bei seinen Verwandten wohnen kann, bis er eine eigene Wohnung gefunden hat, und dass seine Familie ihn bei der Suche nach einer Arbeitsstelle unterstützt. Eigenen Angaben zufolge verfügt der aktenkundig gesunde Beschwerdeführer über jahrelange Berufserfahrung als Bodenleger. Bezüglich des Einwandes in der Rechtsmittelschrift, wonach der Beschwerdeführer aufgrund seines Stotterns bei der Arbeitssuche benachteiligt sei, ist festzuhalten, dass das Stottern des Beschwerdeführers diesen zwar eventuell im sozialen Verkehr, nicht aber bei der Arbeit als Bodenleger behindert, weshalb davon auszugehen ist, er werde nicht nur wie früher in der Provinz Daikondi, sondern auch in Kabul in der Lage sein, sich beruflich zu integrieren. Davon ist umso mehr auszugehen, als der Beschwerdeführer neben seiner Muttersprache Dari auch fliessend Farsi spricht. Die Rückkehrhilfe der Schweiz wird ihm den Wiedereinstieg in seine Heimat ebenfalls erleichtern (Art. 74 der Asylverordnung 2 vom 11. August 1999 [AsylV 2, SR 142.312]). Sodann ist darauf hinzuweisen, dass der Beschwerdeführer den weitaus grössten Teil seines Lebens in Afghanistan verbracht hat, weshalb er mit der dortigen Sprache, Kultur, Arbeits- und Lebensweise vertraut ist. Schliesslich ist festzuhalten, dass blosse soziale und wirtschaftliche Schwierigkeiten, von denen die ansässige Bevölkerung im Allgemeinen betroffen ist, nicht genügen, um eine Gefährdung im Sinne von Art. 83 Abs. 4 AuG zu bewirken (vgl. BVGE 2008/34 E. 11.2.2, EMARK 2005 Nr. 24 E. 10.1 S. 215). Nach Berücksichtigung aller wesentlicher Entscheidungselemente erweist sich der Vollzug der Wegweisung des Beschwerdeführers nach Kabul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den Vollzug im Ergebnis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Da der Beschwerdeführer mit seiner Beschwerde vollumfänglich unterlegen ist, wären ihm grundsätzlich die Verfahrenskosten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sein Begehren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