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D-6960/2016 vom 6. September 2017</w:t>
      </w:r>
    </w:p>
    <w:p>
      <w:r>
        <w:t>Bundesverwaltungsgericht, 2017-09-06, DE</w:t>
      </w:r>
    </w:p>
    <w:p>
      <w:r>
        <w:rPr>
          <w:b/>
        </w:rPr>
        <w:t xml:space="preserve">Quelle: </w:t>
      </w:r>
      <w:r>
        <w:t>https://mcp.opencaselaw.ch/entscheid/bvger_D-6960_2016</w:t>
      </w:r>
    </w:p>
    <w:p>
      <w:r>
        <w:t>FR: TAF D-6960/2016 du 6 septembre 2017</w:t>
      </w:r>
    </w:p>
    <w:p>
      <w:r>
        <w:t>IT: TAF D-6960/2016 del 6 settembre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fristgerecht eingereicht worden (Art. 108 Abs. 2 AsylG). Grundsätzlich sind Eingaben an das Bundesverwaltungsgericht nach Art. 16 Abs. 1 AsylG in einer der Amtssprachen abzufassen. Praxisgemäss nimmt das Bundesverwaltungsgericht in Flughafenverfahren wie dem vorliegenden jedoch auch in Fremdsprachen verfasste Eingaben entgegen und lässt sie von Amtes wegen in eine der Amtssprachen übersetzen. Unter diesen Umständen kann die Laieneingabe der Beschwerdeführenden auch als formgerecht (vgl. Art. 52 Abs. 1 VwVG) entgegengenommen werden.</w:t>
      </w:r>
    </w:p>
    <w:p>
      <w:r>
        <w:rPr>
          <w:b/>
        </w:rPr>
        <w:t>E. 2</w:t>
      </w:r>
    </w:p>
    <w:p>
      <w:r>
        <w:t>Bei den Beschwerdeführenden handelt es sich um die Mitglieder einer Familie (Mutter, Sohn und volljährige Tochter), welche alle im Wesentlichen denselben fluchtauslösenden Sachverhalt geltend machen. Aufgrund des engen persönlichen und sachlichen Zusammenhangs werden die Verfahren vereinigt und es wird in einem Urteil mit gleichem Spruchkörper über die beiden Beschwerden entschieden.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der Verfügung der Beschwerdeführerin 1 und deren minderjährigen Sohnes führte das SEM im Wesentlichen aus, die Beschwerdeführenden hätten angegeben, dass sie nie über einen Reisepass verfügt hätten. Abklärungen der Flughafenpolizei Z._______ hätten aber ergeben, dass sie mit ihren irakischen Reisepässen von X._______ nach Z._______ geflogen seien. Auf Nachfrage habe die Beschwerdeführerin 1 erklärt, dass sie nicht mit den Pässen, sondern mit einem weissen Papier gereist seien. Es sei daher davon auszugehen, dass sie die Schweizer Behörden über die effektiven Modalitäten ihrer Reise zu täuschen versuchen. Ferner seien ihre Aussagen bezüglich des politischen Engagements ihres Ehemannes durchwegs knapp und pauschal ausgefallen und hätten keine Realkennzeichen enthalten. Sie habe keine Auskunft über den Inhalt der Artikel sowie über deren Publikation geben können und diese Artikel auch nicht zu den Akten gereicht. Die Frage, ob auch die Tochter an den Demonstrationen teilgenommen habe, habe sie widersprüchlich und ausweichend beantwortet bevor sie angegeben habe, die Tochter habe sie zwei Mal an Demonstrationen begleitet. Die Tochter habe jedoch im Rahmen ihrer Anhörung angegeben, nie mit ihr zusammen an einer Demonstration teilgenommen zu haben. Weder sie noch die Tochter hätten den Widerspruch in den Aussagen erklären können. Weil sie nur ungenaue und widersprüchliche Aussagen über das Engagement ihres Ehemannes gemacht habe, erscheine es zweifelhaft, dass dieser tatsächlich politisch aktiv gewesen sei. Auch die Aussagen zu den angeblichen Bedrohungen seien unsubstanziiert und zu den Aussagen der Tochter widersprüchlich ausgefallen. Von Personen, die eine solche Situation im engsten Familienkreis miterlebten, könne ein persönlicher und detaillierter Bericht erwartet werden. Sie habe zudem eine Situation geschildert, in der zwei bis drei mutmassliche Islamisten bei ihnen zu Hause vorbeigekommen seien und einen Streit mit dem Ehemann begonnen hätten. Die Tochter habe wiederum verneint, dass es jemals zu einer solchen Situation gekommen sei. Sie hätten beide diesen Widerspruch nicht auflösen können. Im Gegensatz zur Tochter habe sie verneint, dass der Ehemann jemals geschlagen worden sei. Aufgrund dieser erheblichen Diskrepanzen zwischen den Aussagen, könnten die geltend gemachten Probleme des Ehemannes aufgrund von politischen Aktivitäten nicht geglaubt werden. Bezüglich ihrer Ausführungen über die Zeit zwischen dem Verschwinden des Ehemannes und der Ausreise sei anzumerken, dass eine Person, die eine solch dramatische Situation tatsächlich erlebt hätte, zweifelsohne eine Menge über ihre Handlungen, Gefühle und Gedanken erzählen könnte, was bei ihr nicht der Fall gewesen sei. Es könne daher nicht geglaubt werden, dass der Ehemann entführt worden sei. Es erübrige sich auf weitere Ungereimtheiten einzugehen. Da die geschilderte Verfolgung und Entführung des Ehemannes nicht glaubhaft sei, könne auf weitere Ausführungen zur Furcht, von den angeblichen Angreifern des Ehemannes ebenfalls entführt oder vergewaltigt zu werden, verzichtet werden. Die Vorbringen würden den Anforderungen an die Glaubhaftigkeit gemäss Art. 7 AsylG nicht standhalten, weshalb deren Asylrelevanz nicht geprüft werden müsse. Demzufolge erfüllen sie die Flüchtlingseigenschaft nicht, so dass ihre Asylgesuche abzulehnen seien.</w:t>
      </w:r>
    </w:p>
    <w:p>
      <w:r>
        <w:rPr>
          <w:b/>
        </w:rPr>
        <w:t>E. 5.1.2</w:t>
      </w:r>
    </w:p>
    <w:p>
      <w:r>
        <w:t>Zur Begründung der Verfügung der Beschwerdeführerin 2 führte das SEM ergänzend zu der eben geschilderten Verfügung im Wesentlichen aus, die Angaben der Beschwerdeführerin 2 bezüglich der Bedrohungen würden in mehreren zentralen Punkten in krassem Widerspruch zu den Angaben ihrer Mutter stehen. So habe sie gesagt, nie selber Zeugin einer Bedrohung des Vaters geworden zu sein. Ihre Mutter habe hingegen angegeben, dass sie anwesend gewesen sei, als ihr Vater von zwei Strenggläubigen aufgesucht und bedroht worden sei. Weiter habe sie angegeben, dass sie und ihre Mutter in den Strassen nach ihrem Vater gesucht hätten. Ihre Mutter habe hingegen angegeben, sie habe sich in jener Nacht zu Hause aufgehalten und sich dann zu ihrem eigenen Vater begeben. Angesprochen auf diese Widersprüche habe sie angegeben, dass ihre Antworten der Wahrheit entsprächen. Sie vermöge ferner keinen einzigen Slogan wiederzugeben, der sich auf den Plakaten des Vaters befunden haben solle. Auch die Angaben zu den Ausreisevorbereitungen sowie zur Reise in die Schweiz seien äusserst vage und unsubstanziiert geblieben. Diese Vorbringen würden demnach den Anforderungen an die Glaubhaftigkeit gemäss Art. 7 AsylG nicht standhalten, so dass die Asylrelevanz nicht geprüft werden müsse. Weiter würde die von ihr angeführte rechtliche Situation der Frauen auf den allgemeinen politischen und sozialen Gegebenheiten beruhen. Es würden sich in ihren Aussagen weder Hinweise auf einen unerträglichen psychischen Druck, noch auf einen geplanten sexuellen Übergriff auf ihre Person finden. Diese Vorbringen würden den Anforderungen an die Flüchtlingseigenschaft nicht standhalten.</w:t>
      </w:r>
    </w:p>
    <w:p>
      <w:r>
        <w:rPr>
          <w:b/>
        </w:rPr>
        <w:t>E. 5.2.1</w:t>
      </w:r>
    </w:p>
    <w:p>
      <w:r>
        <w:t>In ihrer Beschwerde machten die Beschwerdeführerin 1 und der minderjährige Sohn in der in einer Fremdsprache verfassten Begründung, welche praxisgemäss von Amtes wegen übersetzt wurde, einige Stellen jedoch unleserlich blieben, im Wesentlichen sinngemäss geltend, sie (die Beschwerdeführerin 1) habe nie nach den Tätigkeiten ihres Mannes gefragt, da dies seine persönliche Angelegenheit gewesen sei. Als sie nachgefragt habe, habe er ihr nichts sagen wollen. Es gehe ihr psychisch nicht gut und sie wisse vieles nicht, aber vieles sei ihr auch nicht erzählt worden. Die Artikel ihres Mannes seien alt und würden bei seinen Sachen sein. Sie seien per Brief und telefonisch bedroht worden, dabei sei ihr Mann aufgefordert worden, sein Engagement zu beenden, ansonsten würde seine Familie getötet. Sie seien mehrmals mit den Kindern an Demonstrationen gegangen. Einmal habe aber ihr Mann die Kinder aufgrund der schlimmen Lage wieder nach Hause geschickt. Sie habe ihren Mann nicht gesucht, da sie Zuhause herumtelefoniert habe. Sie habe das Bewusstsein verloren, als die Männer auf ihren Mann losgegangen seien, weshalb sie nicht wisse, was geschehen sei.</w:t>
      </w:r>
    </w:p>
    <w:p>
      <w:r>
        <w:rPr>
          <w:b/>
        </w:rPr>
        <w:t>E. 5.2.2</w:t>
      </w:r>
    </w:p>
    <w:p>
      <w:r>
        <w:t>In ihrer Beschwerde machte die Beschwerdeführerin 2 ebenfalls in der in einer Fremdsprache verfassten Begründung, welche praxisgemäss von Amtes wegen übersetzt wurde, einige Stellen jedoch unleserlich blieben, im Wesentlichen geltend, sie habe nie gesagt, dass ihr Vater ihre Mutter geschlagen habe. Sie seien ein paar Mal per Brief und ein paar Mal telefonisch bedroht worden. Sie sei mit dem Vater demonstrieren gegangen, habe dies aber ihrer Mutter nie erzählt. Vielleicht habe sie es doch erzählt und ihre Mutter habe es vergessen, da es ihr psychisch nicht gut gehe. Sie habe ihren Vater gesucht, habe bei den Nachbarn nachgefragt, sei dann vor die Türe gesessen und habe geweint und gewartet. Ferner sei ihre Mutter bewusstlos geworden, als die Männer auf ihren Vater losgegangen seien. Sie habe deshalb nicht gesehen, dass ihr Vater geblutet habe. Sie habe das Blut weggewischt und ihm die Kleidungsstücke gewechselt, damit ihre Mutter nicht noch mehr leide.</w:t>
      </w:r>
    </w:p>
    <w:p>
      <w:r>
        <w:rPr>
          <w:b/>
        </w:rPr>
        <w:t>E. 5.3</w:t>
      </w:r>
    </w:p>
    <w:p>
      <w:r>
        <w:t>In seiner Vernehmlassung führte das SEM in Wesentlichen aus, die Gerichtsunterlagen seien in Kopie nachgereicht worden, was eine Überprüfung auf ihre Echtheit verunmögliche. Ausserdem würden die eingereichten Beweismittel auch von ihrem Inhalt her die geltend gemachte Verfolgung nicht belegen. Es würden daraus keine schlüssigen Angaben über eine regimekritische Haltung, konkrete politische Aktivitäten und eine dadurch motivierte Verfolgungssituation hervorgehen. Zwar behaupte jener Kläger, ein Aktivist der Zivilbewegung zu sein, dies werde von Seiten der Strafverfolgungsbehörde jedoch in keiner Weise bestätigt. Auch die Fotos und die Internetpublikation würden die Aktivitäten des Ehemannes respektive Vaters nicht zu belegen vermögen. Der Text sei weder als kritisch oder brisant einzustufen und der Verfasser erscheine nicht in besonderem Masse politisch informiert. Der Text erschöpfe sich in allgemeinen Aussagen über den sogenannten Islamischen Staat (IS), die Mullahs in der Autonomen Region Kurdistan, Frauenrechte, Gleichheit und Säkularismus. Eine Verfolgung aufgrund dessen politischen Aktivitäten sei nicht glaubhaft gemacht.</w:t>
      </w:r>
    </w:p>
    <w:p>
      <w:r>
        <w:rPr>
          <w:b/>
        </w:rPr>
        <w:t>E. 5.4</w:t>
      </w:r>
    </w:p>
    <w:p>
      <w:r>
        <w:t>In den beiden gleichlautenden Repliken machten die Beschwerdeführenden im Wesentlichen geltend, die Gerichtsurteile seien im Original eingereicht worden. Der Vater respektive Ehemann habe islamkritische Artikel verfasst, wobei er darin mit Name und Bild erwähnt werde. Die Fotos könnten die konkreten politischen Aktivitäten nicht direkt belegen, würden aber aufzeigen, dass er an Demonstrationen teilgenommen habe.</w:t>
      </w:r>
    </w:p>
    <w:p>
      <w:r>
        <w:rPr>
          <w:b/>
        </w:rPr>
        <w:t>E. 6</w:t>
      </w:r>
    </w:p>
    <w:p>
      <w:r>
        <w:t>Das SEM konzentriert sich in den angefochtenen Verfügungen auf die Würdigung der Glaubhaftigkeit der Vorbringen der Beschwerdeführenden. Da diese verneint wird, verzichtete das SEM, die Vorbringen auf deren Asylrelevanz hin zu prüfen. Auch das Bundesverwaltungsgericht stellt mehrere Widersprüche zwischen den Vorbringen der Beschwerdeführerin 1 und 2 fest. Dies insbesondere hinsichtlich der gemeinsamen Teilnahme an Demonstrationen sowie bezüglich der tätlichen Angriffe gegenüber dem Ehemann respektive Vater. In wieweit diese jedoch auch durch den schlechten Gesundheitszustand der Beschwerdeführerin 1 erklärbar wären, kann aufgrund der selbst bei Wahrunterstellung der Vorbringen fehlenden Asylrelevanz (vgl. nachfolgende Erwägungen) offen gelassen und auf eine eingehende Beurteilung der Glaubhaftigkeit verzichtet werden.</w:t>
      </w:r>
    </w:p>
    <w:p>
      <w:r>
        <w:rPr>
          <w:b/>
        </w:rPr>
        <w:t>E. 7.1</w:t>
      </w:r>
    </w:p>
    <w:p>
      <w:r>
        <w:t>Die Beschwerdeführenden machen im Wesentlichen eine Reflexverfolgung aufgrund des politischen Engagements des Vaters geltend, da sie nach dessen Entführung und den erhaltenen Bedrohungen ebenfalls derartige Behelligungen befürchten.</w:t>
      </w:r>
    </w:p>
    <w:p>
      <w:r>
        <w:rPr>
          <w:b/>
        </w:rPr>
        <w:t>E. 7.2</w:t>
      </w:r>
    </w:p>
    <w:p>
      <w:r>
        <w:t>Eine Reflexverfolgung liegt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Die Wahrscheinlichkeit, Opfer einer Reflexverfolgung im obgenannten Sinn zu werden, ist vor allem gegeben, wenn nach einem flüchtigen Familienmitglied gefahndet wird, und die Behörde Anlass zur Vermutung hat, dass jemand mit dem Gesuchten in engem Kontakt steht. Diese Wahrscheinlichkeit erhöht sich, wenn ein nicht unbedeutendes politisches Engagement seitens des Reflexverfolgten für illegale politische Organisationen hinzukommt (vgl. BVGE 2010/57 E. 4.1.3; Urteil des BVGer E-4140/2014 E. 5.4 m.w.H.). Um eine begründete Furcht im Sinne von Artikel 3 AsylG zu bejahen,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real drohenden Verfolgung nachvollziehbar erscheinen lassen. Eine begründete Furcht vor künftiger Verfolgung ist mithin zu bejahen, wenn jemand aufgrund konkreter Indizien mit guten Gründen - das heisst objektiv nachvollziehbar - befürchten kann, dass mit erheblicher Wahrscheinlichkeit Verfolgung droht, und deshalb ein weiterer Verbleib im Heimatstaat nicht zugemutet werden kann. Dabei können insbesondere bereits früher erlittene Verfolgungshandlungen, die für sich alleine mangels Intensität nicht asylrelevant wären, als Indizien, welche die Furcht vor Verfolgung nachvollziehbar und begründet erscheinen lassen, berücksichtigt werden (vgl. nach wie vor gültige Entscheidungen und Mitteilungen der Schweizerischen Asylrekurskommission [EMARK] 1994 Nr. 5 E. 3h).</w:t>
      </w:r>
    </w:p>
    <w:p>
      <w:r>
        <w:rPr>
          <w:b/>
        </w:rPr>
        <w:t>E. 7.3</w:t>
      </w:r>
    </w:p>
    <w:p>
      <w:r>
        <w:t>Diese objektiv nachvollziehbare Furcht vor ernsthaften Nachteilen ist in casu zu verneinen. Auch wenn davon ausgegangen wird, dass der Vater respektive Ehemann tatsächlich von regimetreuen oder strenggläubigen Personen entführt wurde, liegen keine genügenden Hinweise vor, dass auch die Beschwerdeführenden in Gefahr wären und ernsthafte Nachteile zu befürchten hätten. Zwar wird geltend gemacht, auch die Beschwerdeführerin 1 habe eine Drohnachricht auf ihrem Handy erhalten. Dieser Umstand alleine, ohne zusätzliche Indizien, reicht jedoch für eine Bejahung der Gefährdung nicht aus. Die Beschwerdeführenden vermögen sodann keine weiteren Indizien oder Hinweise substanziiert darzulegen, wonach auch sie nun in Gefahr wären. So gaben sie auch zu Protokoll, dass mehrere nahe Verwandte weiterhin unbehelligt im Irak leben würden. Zudem haben sie sich, abgesehen von wenigen Teilnahmen an Demonstrationen, nie selber aktiv politisch betätigt oder ein besonderes Interesse daran. Auch wenn die Angst vor ernsthaften Nachteilen in subjektiver Hinsicht nach dem Verschwinden des Ehemanns und Vaters durchaus verständlich erscheinen mag, ist die objektive Komponente zu wenig dargelegt, weshalb diese Vorbringen als nicht asylrelevant zu qualifizieren sind. Daran vermögen auch die per Email und somit in Kopie eingereichten Beweismittel nichts zu ändern, versuchen diese doch lediglich das politische Engagement des Vaters respektive Ehemanns zu belegen, welches als solches nicht bestritten wird.</w:t>
      </w:r>
    </w:p>
    <w:p>
      <w:r>
        <w:rPr>
          <w:b/>
        </w:rPr>
        <w:t>E. 7.4</w:t>
      </w:r>
    </w:p>
    <w:p>
      <w:r>
        <w:t>Der Vollständigkeit halber ist anzufügen, dass die Angst der Beschwerdeführerin 2, Opfer eines sexuellen Missbrauchs zu werden, nicht substanziiert wurde und sie diesbezüglich lediglich auf die allgemeine Situation im Irak verweist. Auch dieses Vorbringen ist daher nicht geeignet, die Flüchtlingseigenschaft zu begründen.</w:t>
      </w:r>
    </w:p>
    <w:p>
      <w:r>
        <w:rPr>
          <w:b/>
        </w:rPr>
        <w:t>E. 7.5</w:t>
      </w:r>
    </w:p>
    <w:p>
      <w:r>
        <w:t>Zusammenfassend ergibt sich, dass keine asylrechtlich relevanten Verfolgungsgründe ersichtlich sind, weshalb die Vorinstanz zu Recht die Flüchtlingseigenschaft verneint und die Asylgesuche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Nordirak ist demnach unter dem Aspekt von Art. 5 AsylG rechtmässig. Sodann ergeben sich weder aus den Aussagen der Beschwerdeführenden noch aus den Akten Anhaltspunkte dafür, dass sie für den Fall einer Ausschaffung in den Nordirak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w:t>
      </w:r>
    </w:p>
    <w:p>
      <w:r>
        <w:t>Im Urteil des Bundesverwaltungsgerichts E-3737/2015 vom 14. Dezember 2015 E. 7.4 (als Referenzurteil publiziert) wurde festgestellt, dass in den vier Provinzen der Autonomen Kurdischen Region (das KRG-Gebiet wird seit Anfang 2015 durch die Provinzen Dohuk, Erbil, Suleimaniya sowie der von Letzterer abgespalteten Provinz Halabja gebildet) nicht von einer Situation allgemeiner Gewalt im Sinn von Art. 83 Abs. 4 AuG auszugehen ist und keine konkreten Anhaltspunkte für die Annahme vorliegen, dies werde sich in absehbarer Zeit massgeblich verändern. Angesichts der Belastung der behördlichen Infrastrukturen durch intern vertriebene Personen ist allerdings jeweils der Prüfung des Vorliegens begünstigender individueller Faktoren - insbesondere denjenigen eines tragfähigen familiären Beziehungsnetzes (vgl. auch BVGE 2008/5 E. 7.5) - besonderes Gewicht beizumessen.</w:t>
      </w:r>
    </w:p>
    <w:p>
      <w:r>
        <w:rPr>
          <w:b/>
        </w:rPr>
        <w:t>E. 9.5</w:t>
      </w:r>
    </w:p>
    <w:p>
      <w:r>
        <w:t>Die Beschwerdeführenden stammen aus der Stadt W._______, wo sie auch ein ausgeprägtes Beziehungsnetz aufzuweisen vermögen. So konnten sie sich nach dem plötzlichen Verschwinden des Vaters respektive Ehemannes zu Verwandten begeben, welche ihnen auch bei der Organisation der Ausreise geholfen haben. Aus den Protokollen werden zudem weitere, auch in der Schweiz gepflegte, soziale Kontakte zu Verwandten und Bekannten ersichtlich. Es ist davon auszugehen, dass dieses Beziehungsnetz den Beschwerdeführenden bei der Reintegration behilflich sein wird. Die gesundheitlichen Beschwerden der Beschwerdeführerin 1 waren bereits im Heimatland bekannt und konnten offenbar auch behandelt werden. Die beiden Kinder der Beschwerdeführerin 1 sind ledig, jung und gesund, weshalb es insbesondere der Beschwerdeführerin 2 zugemutet werden kann, im Heimatstaat für ein wirtschaftliches Fortkommen zu sorgen, zumal sie auch die Schule besucht und abgeschlossen hat. Das Vorliegen besonders begünstigender individueller Faktoren ist demnach zu bejahen. Nach dem Gesagten erweist sich der Vollzug der Wegweisung auch als zumutbar.</w:t>
      </w:r>
    </w:p>
    <w:p>
      <w:r>
        <w:rPr>
          <w:b/>
        </w:rPr>
        <w:t>E. 9.6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Art. 1 - 3 des Reglements vom 21. Februar 2008 über die Kosten und Entschädigungen vor dem Bundesverwaltungsgericht [VGKE, SR 173.320.2]). Nachdem jedoch die mit den Beschwerden gestellten Gesuche um Gewährung der unentgeltlichen Rechtspflege mit Verfügungen vom 17. November 2016 gutgeheissen wurden,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