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D-6960/2008 vom 5. Dezember 2008</w:t>
      </w:r>
    </w:p>
    <w:p>
      <w:r>
        <w:t>Bundesverwaltungsgericht, 2008-12-05, DE</w:t>
      </w:r>
    </w:p>
    <w:p>
      <w:r>
        <w:rPr>
          <w:b/>
        </w:rPr>
        <w:t xml:space="preserve">Quelle: </w:t>
      </w:r>
      <w:r>
        <w:t>https://mcp.opencaselaw.ch/entscheid/bvger_D-6960_2008</w:t>
      </w:r>
    </w:p>
    <w:p>
      <w:r>
        <w:t>FR: TAF D-6960/2008 du 5 décembre 2008</w:t>
      </w:r>
    </w:p>
    <w:p>
      <w:r>
        <w:t>IT: TAF D-6960/2008 del 5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(Art. 108 Abs. 2 AsylG, Art. 52 VwVG). Der Beschwerdeführer ist durch die angefochtene Verfügung berührt und hat ein schutzwürdiges Interesse an deren Aufhebung beziehungsweise Änderung. Er ist daher zur Einreichung der Beschwerde legitimiert (Art. 6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nachfolgend aufgezeigt, handelt es sich vorliegend um eine solche, weshalb der Beschwerdeentscheid nur summarisch zu begründen ist, wobei auf die Erwägungen in der angefochtenen Verfügung verwiesen werden kann (Art. 111a Abs. 2 AsylG). Gestützt auf Art. 111a Abs. 1 AsylG wurde vorliegend auf einen Schriftenwechsel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Aufgrund der Akten erweisen sich die vorinstanzlichen Erwägungen als zutreffend. Zur Vermeidung von Wiederholungen kann daher vorab auf die nicht zu beanstandenden Ausführungen des BFM in der angefochtenen Verfügung verwiesen werden. Die Vorinstanz hat die Vorbringen des Beschwerdeführers aus zutreffenden Gründen als den Anforderungen an die Glaubhaftigkeit nicht genügend qualifiziert. Die Vorbringen in der Rechtsmitteleingabe sind nicht geeignet, eine Änderung der vorinstanzlichen Verfügung herbeizuführen. Sie vermögen die von der Vorinstanz aufgezeigten Widersprüche und Ungereimtheiten nicht zu entkräften. Dem Beschwerdeführer wurde bereits mit Zwischenverfügung vom 10. November 2008 dargelegt, weshalb seine Vorbringen in der Beschwerde - da aussichtslos - keine Änderung in der Frage der Flüchtlingseigenschaft und Durchführbarkeit des Wegweisungsvollzugs zu bewirken vermögen. Eine Änderung der Sachlage hinsichtlich der Begehren ist zwischenzeitlich nicht eingetreten, so dass daher ebenfalls auf die Ausführungen in der erwähnten Zwischenverfügung verwiesen werden kann. Der Einschätzung des BFM, die vom Beschwerdeführer behauptete Verfolgungssituation, wonach er vom iranischen Geheimdienst nach der Beschlagnahmung seines Computers, auf welchem er für seinen Vater Dokumente bezüglich dessen Tätigkeit für die Komala-Bewegung gespeichert habe, gesucht werde, sei mangels Substanz und Realkennzeichen sowie aufgrund diverser Widersprüche nicht glaubhaft, ist beizupflichten. Die Vorbringen des Beschwerdeführers weisen diverse Widersprüche und Ungereimtheiten auf. Auch wenn sich der Beschwerdeführer angesichts des jungen Alters noch nicht im Detail für die Inhalte der Dokumente, welche er für den Vater auf seinem Computer angeblich gespeichert habe, interessiert haben sollte, ist es nicht nachvollziehbar, dass er diesbezüglich - abgesehen von sehr allgemein gehaltenen Aussagen wie, dass es um "demokratische und soziale Gedanken" gegangen sei - keinerlei nähere Angaben machen konnte. Insbesondere hinsichtlich des E-Mail-Verkehrs, welchen er gemäss eigenen Angaben für den Vater abgewickelt habe, wäre zu erwarten gewesen, dass er konkretere Angaben zum Inhalt der Nachrichten hätte machen können, wenn er diese tatsächlich selbst geschrieben hätte. Zudem ist der Vorinstanz beizupflichten, wonach es nicht nachvollziehbar ist, dass sich der Beschwerdeführer für die Umstände der Hausdurchsuchung durch den iranischen Geheimdienst nicht interessiert habe. Bei einem solch einschneidenden Ereignis wäre davon auszugehen, dass sich die betroffene Person nach Einzelheiten erkundigt und die Hintergründe kennen möchte. Insgesamt vermitteln die Vorbringen des Beschwerdeführers hinsichtlich der geltend gemachten Ausreisegründe kein in sich stimmiges Bild und vermögen den Anforderungen an die Glaubhaftigkeit gemäss Art. 7 AsylG nicht standzuhalten. Da die vom Vater des Beschwerdeführers geltend gemachten Verfolgungsvorbringen den Anforderungen an die Glaubhaftigkeit und an die Flüchtlingseigenschaft ebenfalls nicht zu genügen vermögen (Verfahren ...), liegt beim Beschwerdeführer auch keine Reflexverfolgung vor.</w:t>
      </w:r>
    </w:p>
    <w:p>
      <w:r>
        <w:rPr>
          <w:b/>
        </w:rPr>
        <w:t>E. 5.2</w:t>
      </w:r>
    </w:p>
    <w:p>
      <w:r>
        <w:t>Die angeführten Verfolgungsvorbringen vermögen nach dem Gesagten mithin den Anforderungen an die Glaubhaftigkeit und an die Flüchtlingseigenschaft nicht zu genügen. Es gelingt dem Beschwerdeführer insgesamt nicht, die Flüchtlingseigenschaft nachzuweisen oder zumindest glaubhaft zu machen, weshalb das Bundesamt das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verfügte Wegweisung steht im Einklang mit den gesetzlichen Bestimmungen und wurde demnach vom Bundesamt zu Recht angeordnet (Art. 44 Abs. 1 AsylG; vgl. zudem Entscheidungen und Mitteilungen der Schweizerischen Asylrekurskommission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des Beschwerdeführers in den Iran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vorliegend nicht der Fall. Der Beschwerdeführer macht geltend, er müsste aufgrund der Tätigkeit seines Vaters für die Komala-Bewegung und seiner diesbezüglichen Mithilfe bei einer Rückkehr Verfolgung durch den iranischen Geheimdienst befürchten. Mit den Vorbringen bezüglich der angeblichen Verfolgung - welche durch das BFM zu Recht als unglaubhaft qualifiziert wurde - vermochte er indessen das Bestehen eines "real risk" nicht glaubhaft zu machen. Aufgrund der Akten sowie der vorstehenden Erwägungen betreffend die Frage der Flüchtlingseigenschaft und des Asyls ist nicht davon auszugehen, dass ihm im Falle einer Rückkehr in den Iran eine derartige Gefahr droht, welche den Wegweisungsvollzug als unzulässig erscheinen lassen würde. Auch die allgemeine Menschenrechtssituation im Iran lässt den Wegweisungsvollzug zum heutigen Zeitpunkt nicht als unzulässig erscheinen. Alleine aus der herrschenden Lage lässt sich kein reales Risiko von Folter oder unmenschlicher oder erniedrigender Strafe oder Behandlung herleiten, zumal das Vorliegen einer allgemein schlechten Menschenrechtslage für sich allein nicht für die Annahme einer drohenden Verletzung von Art. 3 EMRK genügt (vgl. EMARK 2001 Nr. 16 E. 6a).</w:t>
      </w:r>
    </w:p>
    <w:p>
      <w:r>
        <w:rPr>
          <w:b/>
        </w:rPr>
        <w:t>E. 7.1.3</w:t>
      </w:r>
    </w:p>
    <w:p>
      <w:r>
        <w:t>Nach dem Gesagten ist der Vollzug der Wegweisung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Im Iran herrscht keine Situation allgemeiner Gewalt und die dortige Lage ist nicht dermassen angespannt, als dass eine Rückführung als generell unzumutbar betrachtet werden müsste. Eine gänzlich unsichere, von bewaffneten Konflikten oder anderen unberechenbaren Unruhen dominierte Lage im Land, aufgrund derer der Beschwerdeführer sich bei einer Rückkehr unweigerlich einer konkreten Gefährdung ausgesetzt sehen würde, besteht mithin nicht.</w:t>
      </w:r>
    </w:p>
    <w:p>
      <w:r>
        <w:rPr>
          <w:b/>
        </w:rPr>
        <w:t>E. 7.2.2</w:t>
      </w:r>
    </w:p>
    <w:p>
      <w:r>
        <w:t>Ferner sind auch keine individuellen Gründe ersichtlich, welche die Rückkehr des Beschwerdeführers in den Iran als unzumutbar erscheinen lassen würden. Der Beschwerdeführer vermochte nicht darzutun, dass er bei einer Rückkehr in den Heimatstaat einer konkreten Gefährdungssituation im Sinne der zu beachtenden Bestimmung ausgesetzt wäre. In den Akten finden sich auch keine konkreten Anhaltspunkte dafür, dass er aus individuellen Gründen wirtschaftlicher, sozialer oder gesundheitlicher Natur in eine existenzbedrohende Situation geraten würde. Der Beschwerdeführer hat bis zu seiner Ausreise mit (...) in der Stadt E._______ im Iran gelebt. Er ist somit mit den dortigen Verhältnissen bestens vertraut und verfügt über ein breites verwandtschaftliches Beziehungsnetz sowie einen grossen Freundeskreis im Heimatstaat, wo er bis (...) die Schule besucht und danach (...) absolviert hat (vgl. A7, S. 3 f.). Die Asylgesuche der (...) hat das BFM mit separater Verfügung abgelehnt und deren Wegweisung angeordnet. Da das Bundesverwaltungsgericht die dagegen erhobene Beschwerde (Verfahren ...) mit Urteil vom heutigen Tag ebenfalls abweist, wird der Beschwerdeführer zusammen mit (...) in den Heimatstaat zurückreisen können. Aufgrund des kurzzeitigen Auslandaufenthalts dürften sich keine unüberwindlichen Probleme für den Beschwerdeführer ergeben, sich wieder in den iranischen Alltag einzufügen. Schliesslich sind keine weiteren individuellen Gründe ersichtlich, aufgrund derer allenfalls geschlossen werden müsste, der Beschwerdeführer würde im Falle der Rückkehr in die Heimat in eine existenzbedrohende Situation geraten.</w:t>
      </w:r>
    </w:p>
    <w:p>
      <w:r>
        <w:rPr>
          <w:b/>
        </w:rPr>
        <w:t>E. 7.2.3</w:t>
      </w:r>
    </w:p>
    <w:p>
      <w:r>
        <w:t>Nach dem Gesagten erweist sich der Vollzug der Wegweisung sowohl in genereller als auch in individueller Hinsicht als zumutbar.</w:t>
      </w:r>
    </w:p>
    <w:p>
      <w:r>
        <w:rPr>
          <w:b/>
        </w:rPr>
        <w:t>E. 7.3</w:t>
      </w:r>
    </w:p>
    <w:p>
      <w:r>
        <w:t>Schliesslich ist der Vollzug der Wegweisung auch als möglich zu bezeichnen (Art. 83 Abs. 2 AuG). Es obliegt dem Beschwerdeführer, bei der Beschaffung allfällig benötigter Reisedokumente mitzuwirken (Art. 8 Abs. 4 AsylG).</w:t>
      </w:r>
    </w:p>
    <w:p>
      <w:r>
        <w:rPr>
          <w:b/>
        </w:rPr>
        <w:t>E. 7.4</w:t>
      </w:r>
    </w:p>
    <w:p>
      <w:r>
        <w:t>Insgesamt ist die durch die Vorinstanz verfügte Wegweisung zu bestätigen. Das BFM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dessen Kosten dem Beschwerdeführer aufzuerlegen (Art. 63 Abs. 1 und 5 VwVG). Das Gesuch um Gewährung der unentgeltlichen Rechtspflege im Sinne von Art. 65 Abs. 1 VwVG wurde bereits mit Zwischenverfügung vom 10. November 2008 abgewiesen. Die Kosten sind auf insgesamt Fr. 600.-- festzusetzen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