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D-6951/2013 vom 11. Februar 2014</w:t>
      </w:r>
    </w:p>
    <w:p>
      <w:r>
        <w:t>Bundesverwaltungsgericht, 2014-02-11, DE</w:t>
      </w:r>
    </w:p>
    <w:p>
      <w:r>
        <w:rPr>
          <w:b/>
        </w:rPr>
        <w:t xml:space="preserve">Quelle: </w:t>
      </w:r>
      <w:r>
        <w:t>https://mcp.opencaselaw.ch/entscheid/bvger_D-6951_2013</w:t>
      </w:r>
    </w:p>
    <w:p>
      <w:r>
        <w:t>FR: TAF D-6951/2013 du 11 février 2014</w:t>
      </w:r>
    </w:p>
    <w:p>
      <w:r>
        <w:t>IT: TAF D-6951/2013 del 11 febbraio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In der Beschwerde wird geltend gemacht, das BFM habe im Zusammenhang mit der Prüfung der Zumutbarkeit des Wegweisungsvollzugs die Rechtsprechung gemäss BVGE 2013/2 nicht berücksichtigt und daher das Vorliegen einer Aufenthaltsalternative nicht explizit geprüft. Aufgrund dieses Vorbringens ist vorab zu prüfen, ob das BFM die ihm obliegen­de Begründungspflicht beziehungsweise den Anspruch des Beschwer­de­füh­rers auf rechtliches Gehör verletzt hat.</w:t>
      </w:r>
    </w:p>
    <w:p>
      <w:r>
        <w:rPr>
          <w:b/>
        </w:rPr>
        <w:t>E. 3.2</w:t>
      </w:r>
    </w:p>
    <w:p>
      <w:r>
        <w:t>Der Grundsatz des rechtlichen Gehörs (Art. 29 Abs. 2 der Bundesverfassung der Schweizerischen Eidgenossenschaft vom 18. April 1999 [BV, SR 101], Art. 29 und Art. 32 Abs. 1 VwVG) verlangt, dass die verfügende Behörde die Vorbringen des Beschwerdeführers tatsächlich hört, sorgfältig und ernsthaft prüft und in der Entscheidfindung berücksichtigt, was sich entsprechend in der Begründung des Entscheides niederschlagen muss (vgl. Art. 35 Abs. 1 VwVG; Entscheidungen und Mitteilungen der [vormaligen] Schweizerischen Asylrekurskommission [ARK] [EMARK] 2004 Nr. 38 E. 6.3).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Der Anspruch auf rechtliches Gehör ist formeller Natur, weshalb seine Verletzung grundsätzlich ohne Weiteres ­- das heisst ungeachtet der materiellen Auswirkungen - zur Aufhebung des daraufhin ergangenen Entscheides führt.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BVGE 2008/47 E. 3.3.4).</w:t>
      </w:r>
    </w:p>
    <w:p>
      <w:r>
        <w:rPr>
          <w:b/>
        </w:rPr>
        <w:t>E. 3.3</w:t>
      </w:r>
    </w:p>
    <w:p>
      <w:r>
        <w:t>Das BFM hat in der angefochtenen Verfügung weder das Länderurteil BVGE 2013/2 erwähnt noch das Vorliegen einer Aufenthaltsalternative explizit geprüft. Es hat somit den Anspruch auf rechtliches Gehör beziehungsweise seine Begründungspflicht verletzt. Mit Vernehmlassung vom 6. Januar 2014 hat es nachträglich zum Vorliegen einer zumutbaren Aufenthaltsalternative für den Beschwer­deführer in der Türkei Stellung genommen. Angesichts dieser Ergänzung im Beschwerdeverfahren, der dem Beschwerdeführer dazu gewährten Gelegenheit zur Stellungnahme - von welcher er mit Eingabe seiner Rechtsvertreterin vom 24. Januar 2014 Gebrauch gemacht hat - und unter Berücksichtigung der Kognitionsbefugnis des Bundesverwaltungsgerichts kann die (ursprüngliche) Verletzung der Begründungspflicht als geheilt erachtet werden.</w:t>
      </w:r>
    </w:p>
    <w:p>
      <w:r>
        <w:rPr>
          <w:b/>
        </w:rPr>
        <w:t>E. 3.4</w:t>
      </w:r>
    </w:p>
    <w:p>
      <w:r>
        <w:t>Nach dem Gesagten besteht keine Veranlassung, die angefochtene Verfügung aus formellen Gründen aufzuheben und die Sache zur Neubeurteilung an die Vorinstanz zurückzuweisen. Der Umstand, dass die angefochtene Verfügung im Zeitpunkt ihres Erlasses an einem Verfahrensmangel litt, wird indessen im Kosten- und Entschädigungspunkt zu berücksichtigen sein (vgl. E. 7 nachstehend).</w:t>
      </w:r>
    </w:p>
    <w:p>
      <w:r>
        <w:rPr>
          <w:b/>
        </w:rPr>
        <w:t>E. 4</w:t>
      </w:r>
    </w:p>
    <w:p>
      <w:r>
        <w:t>Vorliegend ist - wie bereits in der Verfügung des Instruktionsrichters vom 16. Dezember 2013 erwähnt - mangels Begründung des Rechtsbegehrens Ziffer 2 nur der Vollzug der Wegweisung Gegenstand des vorliegenden Beschwerdeverfahrens. Die Ziffern 1 (Verneinung der Flüchtlingseigenschaft), 2 (Ablehnung des Asylgesuches) und 3 (verfügte Wegweisung) des Dispositivs der angefochtenen Verfügung sind somit in Rechtskraft er­wachsen.</w:t>
      </w:r>
    </w:p>
    <w:p>
      <w:r>
        <w:rPr>
          <w:b/>
        </w:rPr>
        <w:t>E. 5.1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5.2.1</w:t>
      </w:r>
    </w:p>
    <w:p>
      <w:r>
        <w:t>Der Vollzug ist nicht zulässig, wenn völkerrechtliche Verpflichtungen der Schweiz einer Weiterreise der Ausländerin oder des Ausländers in den Heimat-, Herkunfts- oder einen Drittstaat entgegenstehen (Art. 83 Abs. 3 AuG).</w:t>
      </w:r>
    </w:p>
    <w:p>
      <w:r>
        <w:rPr>
          <w:b/>
        </w:rPr>
        <w:t>E. 5.2.2</w:t>
      </w:r>
    </w:p>
    <w:p>
      <w:r>
        <w:t>Vorliegend ist rechtskräftig festgestellt, dass der Beschwerdeführer die Flüchtlingseigenschaft nicht erfülle. Das flüchtlingsrechtliche Rückschiebungsverbot von Art. 33 Abs. 1 des Abkommens vom 28. Juli 1951 über die Rechtsstellung der Flüchtlinge (FK, SR 0.142.30) und Art. 5 AsylG sind daher nicht anwendbar. Die Zulässigkeit des Wegweisungsvollzugs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w:t>
      </w:r>
    </w:p>
    <w:p>
      <w:r>
        <w:rPr>
          <w:b/>
        </w:rPr>
        <w:t>E. 5.2.3</w:t>
      </w:r>
    </w:p>
    <w:p>
      <w:r>
        <w:t>Aus den Akten ergeben sich keine konkreten Anhaltspunkte dafür, dass der Beschwerdeführer für den Fall einer Ausschaffung in die Türkei dort mit beachtlicher Wahrscheinlichkeit einer nach Art. 3 EMRK oder Art. 1 FoK verbotenen Strafe oder Behandlung ausgesetzt wäre. Der Vollzug der Wegweisung ist demnach zulässig.</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Die allgemeine Lage in der Türkei ist weder durch Krieg, Bürgerkrieg noch durch eine Situation allgemeiner Gewalt gekennzeichnet. Ausnahme bilden die südöstlichen Provinzen Hakkari und Sirnak, weshalb der Vollzug der Wegweisung abgewiesener Asylsuchender in diese beiden Provinzen heute (wieder) generell unzumutbar ist (BVGE 2013/2). Bei Personen, die - wie der Beschwerdeführer - aus einer dieser Provinzen stammen, ist die Existenz einer individuell zumutbaren innerstaatlichen Aufenthaltsalternative zu prüfen. Dabei sind gemäss der weiterhin zu beachtenden Rechtsprechung der ARK insbesondere die Fragen der Sicherung des wirtschaftlichen Existenzminimums, des Bezugs zum möglichen Zufluchtsort und der Möglichkeit der dortigen sozialen Integration zu beantworten (vgl. dazu EMARK 1996 Nr. 2, E. 6b.bb S. 14 f.).</w:t>
      </w:r>
    </w:p>
    <w:p>
      <w:r>
        <w:rPr>
          <w:b/>
        </w:rPr>
        <w:t>E. 5.3.3</w:t>
      </w:r>
    </w:p>
    <w:p>
      <w:r>
        <w:t>Das Gericht kommt nach Prüfung der Akten - wie bereits das BFM in seiner Vernehmlassung - zum Schluss, dass im Falle des Beschwerdeführers eine Wohnsitzverlegung innerhalb der Türkei zumutbar ist. Zur Vermeidung von Wiederholungen kann auf die ausführlichen und zutreffenden Ausführungen in der Vernehmlassung des BFM verwiesen werden (vgl. Bst. E. vorstehend). Die zusätzlichen Vorbringen in der Stellungnah­me des Beschwerdeführers vom 24. Januar 2014 erschöpfen sich in unbelegten Behauptungen und überzeugen das Gericht nicht. Mit Nachdruck ist insbesondere darauf hinzuweisen, dass der junge Beschwerdeführer mit Gymnasialabschluss und Arbeitserfahrung über ein familiäres Beziehungsnetz verfügt, das ihn mindestens anfänglich bei einer Heimkehr unterstützen kann. Zugleich ist vom Beschwerdeführer aufgrund seiner Jugend, seiner Bildung und Ungebundenheit durchaus ein gewisser Effort zu fordern, anfängliche Schwierigkeiten hinsichtlich Unterkunft und Arbeit zu überwinden (vgl. BVGE 2010/41 E. 8.3.5, mit weiteren Hinweisen). Blosse soziale und wirtschaftliche Schwierigkeiten, von denen die ansässige Bevölkerung im Allgemeinen betroffen ist, genügen nicht, um eine konkrete Gefährdung im Sinne von Art. 83 Abs. 4 AuG darzustellen (vgl. BVGE 2008/34 E. 11.2.2, BVGE 2010/41 E. 8.3.6, mit weiteren Hinweisen). Im Übrigen ist es ihm unbenommen, Rückkehrhilfe zu beantragen. Es ist daher nicht davon auszugehen, dass er in eine finanziell existenzbedrohende Lage geraten wird, selbst wenn - wie in der Beschwerde behauptet - seine angeblich schlechte psychische Verfassung ihn beim Aufbau einer Existenz einschränken würde. Im Zusammenhang mit der geltend gemachten schlechten psychischen Verfassung ist sodann festzuhalten, dass der Beschwerdeführer trotz Mitwirkungspflicht (Art. 8 AsylG) seit Einreichung seines Asylgesuchs im Oktober 2013 bis zum heutigen Zeitpunkt keinen ärztlichen Bericht einreichte. Des Weiteren ist darauf hinzuweisen, dass aufgrund gesundheitlicher Prob­leme ohnehin nur dann auf die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(BVGE 2009/2 E. 9.3.2). Im vorliegenden Fall bestehen keine Hinweise darauf, dass dies vorliegend auf den Beschwerdeführer zutreffen könnte, zumal - wie bereits das BFM ausführte - ärztliche Behandlungen von psychischen Beschwerden in der Türkei gewährleistet sind, was im Übrigen in der Replik auch nicht bestritten wird. Daran wird auch ein allfälliger Bericht des Ambulatoriums für Folter- und Kriegsopfer, bei welchem der Beschwerdeführer angemeldet sein soll, nichts ändern, weshalb ein solcher nicht abzuwarten ist (antizipierte Beweiswürdigung; BVGE 2008/24 E. 7.2).</w:t>
      </w:r>
    </w:p>
    <w:p>
      <w:r>
        <w:rPr>
          <w:b/>
        </w:rPr>
        <w:t>E. 5.3.4</w:t>
      </w:r>
    </w:p>
    <w:p>
      <w:r>
        <w:t>Nach dem Gesagten erweist sich der Vollzug der Wegweisung auch als zumutbar. Somit ist der Subeventualantrag auf Rückweisung der Sache an das BFM zur vertieften Prüfung betreffend einer zumutbaren Aufenthaltsalternative ausserhalb der Provinz Sirnak abzuweisen.</w:t>
      </w:r>
    </w:p>
    <w:p>
      <w:r>
        <w:rPr>
          <w:b/>
        </w:rPr>
        <w:t>E. 5.4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5.5</w:t>
      </w:r>
    </w:p>
    <w:p>
      <w:r>
        <w:t>Zusammenfassend hat die Vorinstanz den Wegweisungsvollzug zu Recht als zulässig, zumutbar und möglich erachtet. Eine Anordnung der vorläufigen Aufnahme fällt somit ausser Betracht (Art. 83 Abs. 1-4 AuG).</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7.1</w:t>
      </w:r>
    </w:p>
    <w:p>
      <w:r>
        <w:t>Bei diesem Ausgang des Verfahrens wären die Kosten grundsätzlich dem Beschwerdeführer aufzuerlegen (Art. 63 Abs. 1 VwVG). Wie vorstehend (E. 3) aufgezeigt, litt jedoch die Verfügung im Zeitpunkt ihres Erlasses an einem Verfahrensmangel. Dieser Mangel wurde zwar angesichts der vom BFM im Rahmen der Vernehmlassung nachgereichten Ergänzung der Begründung der Verfügung auf Beschwerdeebene geheilt; aus dem Umstand, dass der Beschwerdeführer nur durch das Ergreifen eines Rechtsmittels zu einem rechtskonformen Entscheid gelangt ist, darf ihm jedoch kein finanzieller Nachteil erwachsen, weshalb in Anwendung von Art. 63 Abs. 1 in fine VwVG i.V.m. Art. 6 Bst. b des Reglements vom 21. Februar 2008 über die Kosten und Entschädigungen vor dem Bundesverwaltungsgericht (VGKE, SR 173.320.2) keine Kosten aufzuerlegen sind. Das Gesuch um Gewährung der unentgeltlichen Rechtspflege wird damit gegenstandslos (vgl. BVGE 2008/47 E. 5.1, mit weiteren Hinweisen).</w:t>
      </w:r>
    </w:p>
    <w:p>
      <w:r>
        <w:rPr>
          <w:b/>
        </w:rPr>
        <w:t>E. 7.2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Diese ist aufgrund der Aktenlage sowie unter Berücksichtigung der Honorarnote vom 10. De­zem­ber 2013, der massgebenden Bemessungsfaktoren (Art. 9 - 13 VGKE) und der Entschädigungspraxis in vergleichbaren Fällen auf insgesamt Fr. 400.- (inklusive Auslagen und Mehrwertsteuer) festzusetzen. Die Vorinstanz ist somit anzuweisen, dem Beschwerdeführer eine Parteientschädigung in der Höhe von Fr. 400.-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