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D-693/2013 vom 22. Oktober 2013</w:t>
      </w:r>
    </w:p>
    <w:p>
      <w:r>
        <w:t>Bundesverwaltungsgericht, 2013-10-22, DE</w:t>
      </w:r>
    </w:p>
    <w:p>
      <w:r>
        <w:rPr>
          <w:b/>
        </w:rPr>
        <w:t xml:space="preserve">Quelle: </w:t>
      </w:r>
      <w:r>
        <w:t>https://mcp.opencaselaw.ch/entscheid/bvger_D-693_2013</w:t>
      </w:r>
    </w:p>
    <w:p>
      <w:r>
        <w:t>FR: TAF D-693/2013 du 22 octobre 2013</w:t>
      </w:r>
    </w:p>
    <w:p>
      <w:r>
        <w:t>IT: TAF D-693/2013 del 22 ottobre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hier nicht der Fall ist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Schweizerischen Asylrekurskommission [EMARK] 2005 Nr. 21 E. 7 S. 193 f., EMARK 2004 Nr. 1 E. 6a S. 9).</w:t>
      </w:r>
    </w:p>
    <w:p>
      <w:r>
        <w:rPr>
          <w:b/>
        </w:rPr>
        <w:t>E. 4.1</w:t>
      </w:r>
    </w:p>
    <w:p>
      <w:r>
        <w:t>Der Beschwerdeführer machte als unmittelbaren Grund für seine Ausreise geltend, er sei im Dezember 2005 von Milizen - Angehörigen des "Kommandos des Innenministeriums" - festgenommen, entführt, massiv misshandelt und schliesslich gegen Bezahlung eines Lösegelds in Höhe von 35'000 US-Dollar wieder freigelassen worden. Es sei letztlich nur vielem Glück zuzuschreiben, dass er damals freigelassen und nicht getötet worden sei.</w:t>
      </w:r>
    </w:p>
    <w:p>
      <w:r>
        <w:rPr>
          <w:b/>
        </w:rPr>
        <w:t>E. 4.2</w:t>
      </w:r>
    </w:p>
    <w:p>
      <w:r>
        <w:t>Wie das BFM in seiner Verfügung vom 10. Januar 2013 indessen zutreffend erwogen hat, erscheint dieses Vorkommnis zufolge diverser Widersprüche und Ungereimtheiten als nicht glaubhaft.</w:t>
      </w:r>
    </w:p>
    <w:p>
      <w:r>
        <w:rPr>
          <w:b/>
        </w:rPr>
        <w:t>E. 4.2.1</w:t>
      </w:r>
    </w:p>
    <w:p>
      <w:r>
        <w:t>So erklärte der Beschwerdeführer anlässlich seiner Befragung, es seien damals mehr als 20 Personen erschienen, um ihn festzunehmen (vgl. act. A1/15 S. 8), um anlässlich seiner Anhörung am 5. Juli 2011 zu behaupten, es hätten ihn damals etwa sieben bis zehn Personen festgenommen (vgl. act. A26/15 S. 8 F und A51). Der Beschwerdeführer versucht zwar, diese Diskrepanz in seinen Schilderungen dadurch zu erklären, die Gesamtzahl der anwesenden Personen habe tatsächlich mehr als 20 Personen betragen. Es seien aber lediglich sieben bis zehn Personen gewesen, welche in das Haus eingedrungen seien und ihn dort unmittelbar festgenommen hätten. Die restlichen Personen hätten sich vor dem Haus versammelt (vgl. Beschwerde S. 5). Dieser Erklärungsversuch vermag jedoch nicht zu überzeugen, nannte der Beschwerdeführer doch anlässlich seiner Befragung die Zahl von mehr als 20 Personen auf die konkrete Fragestellung hin, wie viele Personen ins Haus gekommen seien, um ihn festzunehmen.</w:t>
      </w:r>
    </w:p>
    <w:p>
      <w:r>
        <w:rPr>
          <w:b/>
        </w:rPr>
        <w:t>E. 4.2.2</w:t>
      </w:r>
    </w:p>
    <w:p>
      <w:r>
        <w:t>Gegen die Glaubhaftigkeit jenes Vorkommnisses sprechen zusätzlich Aspekte der Logik und des Realitätssinns: So wies der Beschwerdeführer bereits bei seiner Befragung darauf hin, dass Angehörige der Mahdi-Armee nach dem Sturz Saddam Husseins sowohl nach seinem Vater als auch nach ihm gesucht hätten (vgl. act. A1/15 S. 7). Auch anlässlich seiner ergänzenden Anhörung vom 5. Juli 2011 hielt er fest, sein Leben im Irak sei seit dem 9. April 2003 in Gefahr gewesen. In diesem Zusammenhang wies er gleichfalls darauf hin, bereits verschiedentlich Drohbriefe erhalten zu haben (vgl. act. A26/15 S. 7 F und A49 f.). Vor diesem Hintergrund bleibt vollkommen unplausibel, weshalb der Beschwerdeführer im Dezember 2005 das Risiko auf sich hätte nehmen sollen, in sein Haus in B._______ zurückzukehren, mehr als sechs Stunden darin zu verweilen und überdies noch die Sperrstunde zu verpassen, welche es ihm nach eigenem Bekunden verunmöglicht habe, das Haus in der Nacht noch verlassen zu können (vgl. act. A1/15 S. 8). Der Erklärungsversuch in der Beschwerde, er habe die Gefahr einer allfälligen Festnahme zum damaligen Zeitpunkt einfach unterschätzt (a.a.O. S. 6 oben), vermag das Gericht angesichts des Gesagten nicht zu überzeugen.</w:t>
      </w:r>
    </w:p>
    <w:p>
      <w:r>
        <w:rPr>
          <w:b/>
        </w:rPr>
        <w:t>E. 4.2.3</w:t>
      </w:r>
    </w:p>
    <w:p>
      <w:r>
        <w:t>Zusammenfassend ist deshalb festzuhalten, dass die angebliche Entführung des Beschwerdeführers im Dezember 2005 durch Milizen nicht geglaubt werden kann. Damit bleibt letztlich im Dunkeln, welche Gründe den Beschwerdeführer wirklich zur Ausreise aus der Heimat veranlasst haben.</w:t>
      </w:r>
    </w:p>
    <w:p>
      <w:r>
        <w:rPr>
          <w:b/>
        </w:rPr>
        <w:t>E. 4.3</w:t>
      </w:r>
    </w:p>
    <w:p>
      <w:r>
        <w:t>Auch der Umstand, dass der Beschwerdeführer bereits zwei oder drei Monate nach dem Sturz des Regimes von Saddam Hussein nach B._______ zurückgekehrt ist und dort bis im Oktober 2005, also über einen Zeitraum von mehr als zwei Jahren, ohne ersichtliche Schwierigkeiten an der (...) studiert hat, spricht sowohl aus objektiver als auch aus subjektiver Sicht dagegen, dass er in jener Zeit einer asylbeachtlichen Verfolgungssituation im Sinne von Art. 3 AsylG ausgesetzt war.</w:t>
      </w:r>
    </w:p>
    <w:p>
      <w:r>
        <w:rPr>
          <w:b/>
        </w:rPr>
        <w:t>E. 4.4</w:t>
      </w:r>
    </w:p>
    <w:p>
      <w:r>
        <w:t>Es trifft wohl grundsätzlich zu, dass Personen, die als Unterstützer des ehemaligen Regimes von Saddam Hussein gelten und Mitglieder der ehemaligen Baath-Partei sind, potenziell Drohungen ausgesetzt sein können (vgl. BVGE 2008/12 E.6.4.5 S. 159 f.). Da der Beschwerdeführer indessen nicht glaubhaft zu machen vermochte, im Zeitpunkt seiner Ausreise aus dem Irak einer asylrelevanten Verfolgung ausgesetzt gewesen zu sein, besteht auch aus heutiger Sicht keine Veranlassung, für seine Person das Bestehen einer begründeten Furcht vor künftiger Verfolgung zu bejahen. Daran vermag der Umstand, dass seine Familie vor dem Sturz des Saddam Regimes eine gehobene gesellschaftliche Stellung innehatte, nichts zu ändern, bestand diese Situation doch bereits vor der endgültigen Ausreise des Beschwerdeführers Ende Juli 2007 aus dem Irak.</w:t>
      </w:r>
    </w:p>
    <w:p>
      <w:r>
        <w:rPr>
          <w:b/>
        </w:rPr>
        <w:t>E. 4.5</w:t>
      </w:r>
    </w:p>
    <w:p>
      <w:r>
        <w:t>Zusammenfassend ergibt sich, dass es dem Beschwerdeführer nicht gelungen ist, die Flüchtlingseigenschaft nachzuweisen oder zumindest glaubhaft zu machen. Es erübrigt sich, auf weitere Vorbringen in der Beschwerde einzugehen, da diese am Ergebnis nichts zu ändern vermögen. Das BFM hat sein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w:t>
      </w:r>
    </w:p>
    <w:p>
      <w:r>
        <w:rPr>
          <w:b/>
        </w:rPr>
        <w:t>E. 5.3</w:t>
      </w:r>
    </w:p>
    <w:p>
      <w:r>
        <w:t>Demgegenüber erübrigen sich vorliegend weitergehende Ausführungen hinsichtlich des Wegweisungsvollzugs, da diese zufolge der am 10. Januar 2013 angeordneten vorläufigen Aufnahme des Beschwerdeführers (vgl. Sachverhalt Bst. B) obsolet geworden sind.</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sind die Kosten des Verfahrens von Fr. 600.- dem Beschwerdeführer aufzuerlegen (Art. 63 Abs. 1 VwVG). Diese sind durch den vom Beschwerdeführer am 1. März 2013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