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D-6937/2017 vom 1. Mai 2018</w:t>
      </w:r>
    </w:p>
    <w:p>
      <w:r>
        <w:t>Bundesverwaltungsgericht, 2018-05-01, DE</w:t>
      </w:r>
    </w:p>
    <w:p>
      <w:r>
        <w:rPr>
          <w:b/>
        </w:rPr>
        <w:t xml:space="preserve">Quelle: </w:t>
      </w:r>
      <w:r>
        <w:t>https://mcp.opencaselaw.ch/entscheid/bvger_D-6937_2017</w:t>
      </w:r>
    </w:p>
    <w:p>
      <w:r>
        <w:t>FR: TAF D-6937/2017 du 1 mai 2018</w:t>
      </w:r>
    </w:p>
    <w:p>
      <w:r>
        <w:t>IT: TAF D-6937/2017 del 1 maggio 2018</w:t>
      </w:r>
    </w:p>
    <w:p>
      <w:pPr>
        <w:pStyle w:val="Heading2"/>
      </w:pPr>
      <w:r>
        <w:t>Regeste</w:t>
      </w:r>
    </w:p>
    <w:p>
      <w:r>
        <w:t>Asyl (ohne Wegweisungsvollzug)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2011/50 E. 3.1.1, 2011/51 E. 6.2).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rügt in formeller Hinsicht eine unvollständige Feststellung des rechtserheblichen Sachverhalts und sinngemäss eine Verletzung der Begründungspflicht. Die Vorinstanz habe die Tätigkeit in internationalen Organisationen beziehungsweise die in diesem Zusammenhang eingereichten Beweismittel in seinem Entscheid nicht mitberücksichtigt.</w:t>
      </w:r>
    </w:p>
    <w:p>
      <w:r>
        <w:rPr>
          <w:b/>
        </w:rPr>
        <w:t>E. 4.2</w:t>
      </w:r>
    </w:p>
    <w:p>
      <w:r>
        <w:t>In der angefochtenen Verfügung stellte die Vorinstanz unter anderem fest, an der Einschätzung der Unglaubhaftigkeit der Vorbringen, von den Taliban bedroht worden zu sein, vermöchten die eingereichten Beweismittel nichts zu ändern. Die Drohbriefe könnten von einer beliebigen Person verfasst worden sein und hätten somit keinen Beweiswert. Eine eingehende Prüfung der eingereichten Arbeitsbestätigungen in Afghanistan erübrige sich, da der Beschwerdeführer keine Verfolgung habe glaubhaft machen können.</w:t>
      </w:r>
    </w:p>
    <w:p>
      <w:r>
        <w:rPr>
          <w:b/>
        </w:rPr>
        <w:t>E. 4.3</w:t>
      </w:r>
    </w:p>
    <w:p>
      <w:r>
        <w:t>Mit dieser Argumentation hat sich die Vorinstanz für die Beurteilung der geltend gemachten Verfolgungssituation darauf beschränkt zu prüfen, ob es glaubhaft sei, dass der Beschwerdeführer von den Taliban tatsächlich Drohbriefe und Drohanrufe erhalten habe. Hingegen ist die Vorinstanz auf den vom Beschwerdeführer geltend gemachten Grund für eine Verfolgungsmotivation der Taliban, nämlich die Tätigkeit bei internationalen Organisationen und Zulieferfirmen für die US-Streitkräfte, nicht eingegangen und hat die vom Beschwerdeführer dazu vorgelegten Beweismittel als irrelevant betrachtet, da eine Verfolgung mangels Glaubhaftigkeit der Drohanrufe ohnehin nicht glaubhaft sei. Ebenso ist die Vorinstanz nicht näher auf die vom Beschwerdeführer geltend gemachte Tötung seines Bruders eingegangen. Diese Vorgehensweise wird in der Beschwerde zu Recht als unvollständige Feststellung des Sachverhalts gerügt. Falls der Beschwerdeführer tatsächlich in bestimmtem Ausmass für Organisationen oder Firmen tätig gewesen ist, welche Hilfsdienste oder logistische Unterstützung für die US-Truppen leisten, könnte dies ein Risikoprofil des Beschwerdeführers darstellen, da der Beschwerdeführer damit von den Taliban als Kollaborateur des Feindes betrachtet würde. Die Frage, ob und inwiefern der Beschwerdeführer aufgrund seiner Tätigkeit bei internationalen Organisationen in Afghanistan begründete Furcht vor künftiger Verfolgung hat, und die in diesem Zusammenhang eingereichten Beweismittel bedürfen näherer Prüfung und Bewertung im Rahmen einer Gesamtbeurteilung, unabhängig davon, ob der Beschwerdeführer konkrete Drohungen durch die Taliban glaubhaft machen konnte. Die Vorinstanz hat es unterlassen, dieses wichtige Sachverhaltselement in die Entscheidfindung einzubeziehen oder eine Überprüfung der Angaben des Beschwerdeführers vorzunehmen.</w:t>
      </w:r>
    </w:p>
    <w:p>
      <w:r>
        <w:rPr>
          <w:b/>
        </w:rPr>
        <w:t>E. 4.4</w:t>
      </w:r>
    </w:p>
    <w:p>
      <w:r>
        <w:t>Nach dem Gesagten hat die Vorinstanz den rechtserheblichen Sachverhalt unvollständig festgestellt. Beschwerden gegen Verfügungen des SEM über die Verweigerung des Asyls beziehungsweise die Verneinung der Flüchtlingseigenschaft und die Wegweisung haben grundsätzlich reformatorischen und nur ausnahmsweise kassatorischen Charakter (Art. 105 AsylG sowie Art. 6 AsylG i.V.m. Art. 61 Abs. 1 VwVG). Reformatorische Entscheidung setzt indessen Entscheidreife, insbesondere eine genügende Abklärung des rechtserheblichen Sachverhaltes, voraus. Die in diesen Fällen fehlende Entscheidungsreife kann grundsätzlich zwar auch durch die Beschwerdeinstanz selbst hergestellt werden, wenn dies im Einzelfall aus prozessökonomischen Gründen angebracht erscheint; sie muss dies aber nicht (vgl. EMARK 2004 Nr. 38 E. 7.1). Vorliegend erscheint eine Rückweisung an die Vorinstanz namentlich auch deshalb angezeigt, weil diese es unterlassen hat, in ihrer Vernehmlassung zur erhobenen Rüge Stellung zu nehmen und ihre Begründung zu ergänzen, was allenfalls eine Heilung des Verfahrensmangels auf Beschwerdeebene ermöglicht hätte. Abgesehen davon ginge dem Beschwerdeführer durch einen reformatorischen Entscheid vorliegend eine Überprüfungsinstanz verloren.</w:t>
      </w:r>
    </w:p>
    <w:p>
      <w:r>
        <w:rPr>
          <w:b/>
        </w:rPr>
        <w:t>E. 5</w:t>
      </w:r>
    </w:p>
    <w:p>
      <w:r>
        <w:t>Bei dieser Sachlage ist die Verfügung des SEM vom 28. November 2017 aufzuheben und das Verfahren zur weiteren Abklärung des Sachverhaltes und neuer Entscheidung an das SEM zurückzuweisen.</w:t>
      </w:r>
    </w:p>
    <w:p>
      <w:r>
        <w:rPr>
          <w:b/>
        </w:rPr>
        <w:t>E. 6.1</w:t>
      </w:r>
    </w:p>
    <w:p>
      <w:r>
        <w:t>Bei diesem Ausgang des Verfahrens sind keine Kosten zu erheben (Art. 63 Abs. 3 VwVG i.V.m. Art. 37 VGG).</w:t>
      </w:r>
    </w:p>
    <w:p>
      <w:r>
        <w:rPr>
          <w:b/>
        </w:rPr>
        <w:t>E. 6.2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in der Kostennote vom 26. Januar 2018 ausgewiesene Aufwand von Fr. 3'043.- erweist sich als angemessen. Dieser Betrag ist dem Beschwerdeführer durch das SEM auszurichten. Der Anspruch auf amtliches Honorar des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