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D-6923/2025 vom 4. August 2025</w:t>
      </w:r>
    </w:p>
    <w:p>
      <w:r>
        <w:t>Bundesverwaltungsgericht, 2025-08-04, DE</w:t>
      </w:r>
    </w:p>
    <w:p>
      <w:r>
        <w:rPr>
          <w:b/>
        </w:rPr>
        <w:t xml:space="preserve">Quelle: </w:t>
      </w:r>
      <w:r>
        <w:t>https://mcp.opencaselaw.ch/entscheid/bvger_D-6923_2025_d20250804</w:t>
      </w:r>
    </w:p>
    <w:p>
      <w:r>
        <w:t>FR: TAF D-6923/2025 du 4 août 2025</w:t>
      </w:r>
    </w:p>
    <w:p>
      <w:r>
        <w:t>IT: TAF D-6923/2025 del 4 agosto 2025</w:t>
      </w:r>
    </w:p>
    <w:p>
      <w:pPr>
        <w:pStyle w:val="Heading2"/>
      </w:pPr>
      <w:r>
        <w:t>Regeste</w:t>
      </w:r>
    </w:p>
    <w:p>
      <w:r>
        <w:t>Asyl und Wegweisung | Asyl und Wegweisung; Verfügung des SEM vom 4. August 2025</w:t>
      </w:r>
    </w:p>
    <w:p>
      <w:pPr>
        <w:pStyle w:val="Heading2"/>
      </w:pPr>
      <w:r>
        <w:t>Erwägungen</w:t>
      </w:r>
    </w:p>
    <w:p>
      <w:r>
        <w:rPr>
          <w:b/>
        </w:rPr>
        <w:t>E. 20</w:t>
      </w:r>
    </w:p>
    <w:p>
      <w:r>
        <w:t>August 2024 m.w.H.), dass darüber hinaus davon auszugehen ist, dass weder der Ex-Ehemann der Mutter respektive Schwiegermutter der Beschwerdeführerinnen noch die sie bedrohenden Unbekannten (mutmasslich Angehörige krimineller Banden eines Wohnquartiers; vgl. A50/12 F16 und F19) über landesweite Strukturen verfügen und Beschwerdeführerinnen daher eine zumutbare in- nerstaatliche Fluchtalternative in anderen Teilen ihres Heimatstaates offen- steht, dass den Beschwerdeführerinnen, sofern die sie angeblich bedrohenden Personen nach ihrer langen Landesabwesenheit überhaupt noch ein Inte- resse an ihnen haben sollten, auch zuzumuten ist, im Bedarfsfall den Schutz ihres Heimatstaates vor nichtstaatlicher Verfolgung auszuschöpfen, dass auch das mit der Beschwerde zu den Akten gereichte Beweismittel, bei welchem es sich behauptungsweise um die Anzeige eines Diebstahls durch die Schwester respektive Schwägerin der Beschwerdeführerinnen handelt (vgl. Beschwerdebeilage 2), daran nichts zu ändern vermag, da es keinen persönlichen Bezug zu den Beschwerdeführerinnen aufweist und darüber hinaus nicht geeignet ist, eine Verfolgung oder Verfolgungsfurcht zu begründen,</w:t>
      </w:r>
    </w:p>
    <w:p>
      <w:r>
        <w:t>D-6923/2025 Seite 6 dass es den Beschwerdeführerinnen somit nicht gelingt, die Flüchtlings- eigenschaft nachzuweisen oder zumindest glaubhaft zu machen, weshalb die Vorinstanz ihre Asylgesuche zu Recht abgelehnt hat, dass die Anordnung der Wegweisung aus der Schweiz im Einklang mit den gesetzlichen Bestimmungen steht und zu bestätigen ist, da die Beschwer- deführerinnen insbesondere weder über einen Aufenthaltstitel für die Schweiz noch über eine Anspruchsgrundlage auf Erteilung eines solchen verfügen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der Beschwerdeführerinnen (vgl. Urteil des BVGer E-3583/2024 vom 20. Juni 2024) noch individuelle Gründe auf eine konkrete Gefährdung im Falle einer Rückkehr schliessen lassen und vollumfänglich auf die zutreffenden Ausführungen in der angefochtenen Verfügung verwiesen werden kann (vgl. A58/11 S. 8), welchen die Beschwerdeführerinnen nichts Sub- stantielles entgegensetzen, dass es den Beschwerdeführerinnen obliegt, sich die für ihre Rückkehr al- lenfalls benötigten Reisedokumente zu beschaffen (Art. 8 Abs. 4 AsylG; vgl. BVGE 2008/34 E. 12), weshalb der Vollzug der Wegweisung auch als möglich zu bezeichnen ist,</w:t>
      </w:r>
    </w:p>
    <w:p>
      <w:r>
        <w:t>D-6923/2025 Seite 7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 schwerde nach dem Gesagten als von Anfang an aussichtslos erwiesen hat, dass den Beschwerdeführerinnen demnach die Kosten des Verfahrens – welche praxisgemäss auf Fr. 750.– zu bestimmen sind – aufzuerlegen sind (Art. 63 Abs. 1 VwVG; Art. 1–3 des Reglements vom 21. Februar 2008 über die Kosten und Entschädigungen vor dem Bundesverwaltungsgericht [VGKE, SR 173.320.2]).</w:t>
      </w:r>
    </w:p>
    <w:p>
      <w:r>
        <w:t>(Dispositiv nächste Seite)</w:t>
      </w:r>
    </w:p>
    <w:p>
      <w:r>
        <w:t>D-6923/2025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