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D-691/2015 vom 6. September 2016</w:t>
      </w:r>
    </w:p>
    <w:p>
      <w:r>
        <w:t>Bundesverwaltungsgericht, 2016-09-06, DE</w:t>
      </w:r>
    </w:p>
    <w:p>
      <w:r>
        <w:rPr>
          <w:b/>
        </w:rPr>
        <w:t xml:space="preserve">Quelle: </w:t>
      </w:r>
      <w:r>
        <w:t>https://mcp.opencaselaw.ch/entscheid/bvger_D-691_2015</w:t>
      </w:r>
    </w:p>
    <w:p>
      <w:r>
        <w:t>FR: TAF D-691/2015 du 6 septembre 2016</w:t>
      </w:r>
    </w:p>
    <w:p>
      <w:r>
        <w:t>IT: TAF D-691/2015 del 6 settembre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108 Abs. 2 AsylG; Art. 48 Abs. 1 sowie Art. 52 Abs. 1 VwVG). Auf die Beschwerde ist - unter nachstehendem Vorbehalt - einzutreten.</w:t>
      </w:r>
    </w:p>
    <w:p>
      <w:r>
        <w:rPr>
          <w:b/>
        </w:rPr>
        <w:t>E. 2.1</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Gesuch nicht eingetreten ist (vgl. BVGE 2011/9 E. 5). Auf Ziff. 2 der Rechtsbegehren und den Antrag auf Asylgewährung kann daher nicht eingetreten werden.</w:t>
      </w:r>
    </w:p>
    <w:p>
      <w:r>
        <w:rPr>
          <w:b/>
        </w:rPr>
        <w:t>E. 2.2</w:t>
      </w:r>
    </w:p>
    <w:p>
      <w:r>
        <w:t>Bezüglich der Frage der ausländerrechtlichen Wegweisung und des Wegweisungsvollzugs hat das BFM eine materielle Prüfung vorgenommen, weshalb dem Gericht diesbezüglich volle Kognition zukommt.</w:t>
      </w:r>
    </w:p>
    <w:p>
      <w:r>
        <w:rPr>
          <w:b/>
        </w:rPr>
        <w:t>E. 2.3</w:t>
      </w:r>
    </w:p>
    <w:p>
      <w:r>
        <w:t>Mit Beschwerde können im Geltungsbereich des Asylgesetzes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i.V.m. Art. 49 VwVG, Art. 96 AuG; vgl. BVGE 2014/26 E. 5).</w:t>
      </w:r>
    </w:p>
    <w:p>
      <w:r>
        <w:rPr>
          <w:b/>
        </w:rPr>
        <w:t>E. 3.1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in Italien aufgehalten. Italien ist ein verfolgungssicherer Drittstaat im Sinne von Art. 6a Abs. 2 Bst. b AsylG. Der Beschwerdeführer wurde in Italien als Flüchtling anerkannt und die italienischen Behörden haben seiner Rückübernahme zugestimmt (vgl. act. A24/1). Die Voraussetzungen für ein Nichteintreten auf das Asylgesuch gestützt auf Art. 31a Abs. 1 Bst. a AsylG sind erfüllt.</w:t>
      </w:r>
    </w:p>
    <w:p>
      <w:r>
        <w:rPr>
          <w:b/>
        </w:rPr>
        <w:t>E. 3.3</w:t>
      </w:r>
    </w:p>
    <w:p>
      <w:r>
        <w:t>Im Zuge der letzten Asylgesetzrevision wurden die früher im Rahmen der Anwendung der Drittstaatenregelung des aArt. Artikel 34 Abs. 2 AsylG geltenden Ausnahmebestimmungen des aArt. 34 Abs. 3 AsylG auf das völkerrechtliche Minimum beschränkt. Nach geltendem Recht stehen auch die Anwesenheit von nahen Angehörigen sowie die offensichtliche Erfüllung der Flüchtlingseigenschaft der Wegweisung in einen Drittstaat nicht entgegen (vgl. Botschaft zur Änderung des Asylgesetzes vom 26. Mai 2010 [BBl 2010 4455, 4494]).</w:t>
      </w:r>
    </w:p>
    <w:p>
      <w:r>
        <w:rPr>
          <w:b/>
        </w:rPr>
        <w:t>E. 3.4</w:t>
      </w:r>
    </w:p>
    <w:p>
      <w:r>
        <w:t>Die Vorinstanz ist in Anwendung von Art. 31a Abs. 1 Bst. a AsylG zu Recht auf das Asylgesuch des Beschwerdeführers nicht eingetreten.</w:t>
      </w:r>
    </w:p>
    <w:p>
      <w:r>
        <w:rPr>
          <w:b/>
        </w:rPr>
        <w:t>E. 4.1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4.2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w:t>
      </w:r>
    </w:p>
    <w:p>
      <w:r>
        <w:rPr>
          <w:b/>
        </w:rPr>
        <w:t>E. 4.3</w:t>
      </w:r>
    </w:p>
    <w:p>
      <w:r>
        <w:t>Der Beschwerdeführer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4.4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Bundesgerichts 2C_634/2011 vom 27. Juni 2012 E. 4.2.2). Der sich hier aufhaltende Familienangehörige beziehungsweise Konkubinatspartner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w:t>
      </w:r>
    </w:p>
    <w:p>
      <w:r>
        <w:rPr>
          <w:b/>
        </w:rPr>
        <w:t>E. 4.5</w:t>
      </w:r>
    </w:p>
    <w:p>
      <w:r>
        <w:t>Aufgrund der vorliegenden Aktenlage steht fest, dass die Partnerin des Beschwerdeführers und das gemeinsame Kind als anerkannte Flüchtlinge mit Asyl einen Anspruch auf Erteilung und Verlängerung einer Aufenthaltsbewilligung haben und jeweils über eine B-Bewilligung verfügen. Ihr Aufenthaltsstatus in der Schweiz entspricht mithin einem gefestigten Aufenthaltsrecht im Sinne der bundesgerichtlichen Praxis. Zudem wird glaubhaft eine nahe, echte sowie gelebte Beziehung geltend gemacht, welche - entgegen den vorinstanzlichen Einschätzungen - den Kriterien eines Familienlebens im Sinne von Art. 8 EMRK entspricht. Dafür spricht auch, dass die Partnerin des Beschwerdeführers inzwischen das zweite gemeinsame Kind erwartet. Das Bundesverwaltungsgericht hat, wie oben erwähnt, von Amtes wegen die Asylverfahrensakten der Partnerin des Beschwerdeführers C._______ (N [...]) beigezogen. Im Rahmen ihrer Befragung (im EVZ [...] am 15. April 2014; Akte N [...] A4/10 Ziff. 1.14, Ziff. 1.17.04, sowie bei der Anhörung das BFM am 30. September 2014, Akte N [...] A19/19, F. 64 - 66) gab diese in inhaltlich kongruenter Übereinstimmung mit dem Beschwerdeführer zu Protokoll, dass sie zwei Jahre lang, seit 2012 verliebt gewesen seien und eine Beziehung geführt hätten. Zwar hätten sie vor der Ausreise aus Tibet nie zusammengelebt, sie hätten sich jedoch regelmässig gesehen und besucht. Bei den Besuchen hätten sie jeweils für ihr Zusammensein ein Zimmer gemietet. Geheiratet hätten sie nicht, da sie noch Schülerin gewesen sei (vgl. auch act. A6/12, F. 1.14). Beider Familien hätten nichts von dieser Beziehung gewusst, weshalb C._______, als sie ihre Schwangerschaft bemerkt hatte, sich auch nicht zur Familie des Beschwerdeführers begeben hatte. C._______ bestritt auch nicht, dass ihr Freund, der Beschwerdeführer, sich zunächst in Italien aufgehalten habe und dort Asyl beantragt hatte (vgl. Akte N [...] A19/19, F. 18 - 22). Das Bundesverwaltungsgericht hat keinerlei Anlass, daran zu zweifeln, dass die Beziehung des Beschwerdeführers zu seiner Partnerin bereits vor beider Ausreise bestand und er auch der Vater des Kindes ist. Gemäss Aktenlage scheint auch die Vorinstanz vom Vorliegen einer zu beachtenden Familienverbindung ausgegangen zu sein. Zwar wurde den italienischen Behörden im Rahmen der Anfrage vom 12. Januar 2015 mitgeteilt, dass betreffend Partnerin und gemeinsamem Kind auf den ersten Blick kein Anwendungsfall von Art. 8 EMRK ersichtlich sei (vgl. act. A16/3, S. 2), jedoch findet sich in den Vorakten eine E-Mail-Korrespondenz, wonach die Verfahren des Beschwerdeführers und seiner Partnerin nicht getrennt behandelt werden sollten und festgestellt wurde, dass der Umstand, der Beschwerdeführer habe in Italien ein "Permesso di soggiorno" erhalten, auch das weitere Verfahren N 617 596 beeinflussen könnte (vgl. act. A9/2). Deshalb wurde das Dossier von C._______ (N [...]) zwecks "konsolidierter Rückübernahmeanfrage" an die zuständige Sachbearbeiterin des Beschwerdeführers weitergeleitet (vgl. act. A11/2). In diesem Zusammenhang ist weiterhin auch bemerkenswert, dass das Verfahren der C._______ und ihres Kindes nach Auftauchen des Beschwerdeführers sehr lange ruhte und erst nachdem das Bundesverwaltungsgericht die Sistierung des Verfahrens des Beschwerdeführers bis zum Entscheid im Verfahren N [...] verfügte, erneut an die Hand genommen und schliesslich erledigt wurde (vgl. Sachverhalt Bst. P - R). In Würdigung all dieser Umstände gelangt das Gericht vorfrageweise zur Einschätzung, dass sich der Beschwerdeführer somit grundsätzlich auf Art. 8 EMRK berufen kann, wobei die konkrete Beurteilung des Anspruchs nicht mehr Sache des Bundesverwaltungsgerichts, sondern des zuständigen Migrationsamtes ist, wo ein entsprechendes Gesuch derzeit hängig ist (vgl. Bst. Y). Die im Asylverfahren angeordnete Wegweisung wird praxisgemäss aufgehoben, wenn ein grundsätzlicher Anspruch gestützt auf Art. 8 EMRK vorfrageweise bejaht wird (vgl. BVGE 2013/37 E. 4.4.2). Damit erübrigen sich weitere Ausführungen zur Durchführbarkeit des Wegweisungsvollzuges; allfällige Wegweisungshindernisse sind ebenso durch die kantonale Migrationsbehörde zu prüfen.</w:t>
      </w:r>
    </w:p>
    <w:p>
      <w:r>
        <w:rPr>
          <w:b/>
        </w:rPr>
        <w:t>E. 5.1</w:t>
      </w:r>
    </w:p>
    <w:p>
      <w:r>
        <w:t>Aus den vorstehenden Erwägungen ergibt sich, dass die Beschwerde bezüglich der verfügten Wegweisung sowie des Vollzugs der Wegweisung gutzuheissen ist und die Dispositiv-Ziffer 2 (Wegweisung) sowie die Dispositiv-Ziffern 3 und 4 (Vollzug der Wegweisung) der Verfügung des SEM vom 21. Januar 2015 aufzuheben sind. In Bezug auf das Nichteintreten auf das Asylgesuch des Beschwerdeführers vom 29. Oktober 2014 (Dispositiv-Ziffer 1) ist die Beschwerde abzuweisen und die angefochtene Verfügung zu bestätigen. Im Übrigen wird auf die Beschwerde nicht eingetreten.</w:t>
      </w:r>
    </w:p>
    <w:p>
      <w:r>
        <w:rPr>
          <w:b/>
        </w:rPr>
        <w:t>E. 6.1</w:t>
      </w:r>
    </w:p>
    <w:p>
      <w:r>
        <w:t>Bei diesem Ausgang des Verfahrens sind keine Kosten zu erheben (Art. 63 Abs. 1 und 2 VwVG). Ohnehin wurde bereits in der Zwischenverfügung vom 11. Februar 2015 auf die Erhebung eines Kostenvorschusses verzichtet.</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der zuerst beigeordneten Rechtsvertreterin bereits mit Verfügung vom 26. Juli 2016 ein Honorar entrichtet wurde und die neu eingesetzte amtliche Rechtsbeiständin keine weiteren Verfahrenshandlungen unternommen hat, ist keine weitere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