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D-691/2013 vom 9. April 2013</w:t>
      </w:r>
    </w:p>
    <w:p>
      <w:r>
        <w:t>Bundesverwaltungsgericht, 2013-04-09, DE</w:t>
      </w:r>
    </w:p>
    <w:p>
      <w:r>
        <w:rPr>
          <w:b/>
        </w:rPr>
        <w:t xml:space="preserve">Quelle: </w:t>
      </w:r>
      <w:r>
        <w:t>https://mcp.opencaselaw.ch/entscheid/bvger_D-691_2013</w:t>
      </w:r>
    </w:p>
    <w:p>
      <w:r>
        <w:t>FR: TAF D-691/2013 du 9 avril 2013</w:t>
      </w:r>
    </w:p>
    <w:p>
      <w:r>
        <w:t>IT: TAF D-691/2013 del 9 aprile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Die Regeln des VGG über die Zuständigkeit des Bundesverwaltungerichts als Beschwerdeeinstanz (Art. 31-34) enthalten keine spezifischen Aussagen zur Frage, in wessen Kompetenz die Behandlung von Rechtsverweigerungs- und Rechtsverzögerungsbeschwerden fällt. Art. 46a VwVG besagt, dass gegen das unrechtmässige Verweigern oder Verzögern einer anfechtbaren Verfügung Beschwerde geführt werden kann.</w:t>
      </w:r>
    </w:p>
    <w:p>
      <w:r>
        <w:rPr>
          <w:b/>
        </w:rPr>
        <w:t>E. 1.3</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Hiervon ausgehend, wäre der Beschwerdeführer zur Beschwerde gegen die allfällig abschlägige Beurteilung seines Asylgesuchs befugt; folgerichtig ist er zur Beschwerde gegen das unrechtmässige Verweigern und Verzögern eines solchen Entscheids legitimiert (vgl. BVGE 2008/15 E.3.1.1. - 3.3).</w:t>
      </w:r>
    </w:p>
    <w:p>
      <w:r>
        <w:rPr>
          <w:b/>
        </w:rPr>
        <w:t>E. 1.4</w:t>
      </w:r>
    </w:p>
    <w:p>
      <w:r>
        <w:t>Die Rechtsverweigerungs- und Rechtsverzögerungsbeschwerde unterliegt keiner peremptorischen Frist (Art. 6 AsylG i.V.m. Art. 50 Abs. 2 VwVG). Der Beschwerdeführer reichte seine Beschwerde in gültiger Form ein (Art. 6 AsylG i.V.m. Art. 52 VwVG). Auf diese ist somit einzutreten.</w:t>
      </w:r>
    </w:p>
    <w:p>
      <w:r>
        <w:rPr>
          <w:b/>
        </w:rPr>
        <w:t>E. 2.1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312 E. 5.1, mit weiteren Hinweisen).</w:t>
      </w:r>
    </w:p>
    <w:p>
      <w:r>
        <w:rPr>
          <w:b/>
        </w:rPr>
        <w:t>E. 2.2.1</w:t>
      </w:r>
    </w:p>
    <w:p>
      <w:r>
        <w:t>Eine Rechtsverweigerung liegt vor, wenn eine Behörde sich weigert, eine Verfügung zu erlassen, obwohl sie dazu aufgrund der einschlägigen Rechtsnormen verpflichtet wäre. Eine Rechtsverweigerung liegt insbesondere vor, wenn die Behörde faktisch untätig bleibt oder dem Gesuchsteller gar zu verstehen gibt, dass sie das Gesuch nicht zu behandeln gedenkt (vgl. Markus Mülller, in: Auer/Müller/Schindler [Hrsg.], VwVG, Kommentar zum Bundesgesetz über das Verwaltungsverfahren, Zürich/St. Gallen 2008 N 4 zu Art. 46a VwVG).</w:t>
      </w:r>
    </w:p>
    <w:p>
      <w:r>
        <w:rPr>
          <w:b/>
        </w:rPr>
        <w:t>E. 2.2.2</w:t>
      </w:r>
    </w:p>
    <w:p>
      <w:r>
        <w:t>Von einer Rechtsverweigerung ist vorliegend nicht auszugehen: Das BFM hat wiederholt, letztmals in seiner Vernehmlassung vom 8. März 2013 zu verstehen gegeben, dass es das Asylgesuch zu behandeln und einen Entscheid zu fällen gedenke (vgl. Bst. J, K und P hiervor).</w:t>
      </w:r>
    </w:p>
    <w:p>
      <w:r>
        <w:rPr>
          <w:b/>
        </w:rPr>
        <w:t>E. 2.3.1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In Betracht zu ziehen sind dabei namentlich die Komplexität der Sache, das Verhalten der betroffenen Beteiligten und der Behörden, die Bedeutung des Verfahrens für die betroffene Partei sowie einzelfallspezifische Entscheidungsabläufe (vgl. zum Ganzen BGE 130 I 312 E. 5.1 und 5; Müller, a.a.O. N 6 zu Art. 46a VwVG). Spezialgesetzliche Behandlungsfristen, wie beispielsweise für das erstinstanzliche Asylverfahren (vgl. Art. 37 AsylG), sind bei einer Beurteilung der Angemessenheit der Verfahrensdauer ebenfalls zu berücksichtigen.</w:t>
      </w:r>
    </w:p>
    <w:p>
      <w:r>
        <w:rPr>
          <w:b/>
        </w:rPr>
        <w:t>E. 2.3.2</w:t>
      </w:r>
    </w:p>
    <w:p>
      <w:r>
        <w:t>Das BFM vermag in seiner Vernehmlassung nicht stichhaltig zu erklären, inwiefern es wegen nicht selbst zu verantwortender Umstände bis heute nicht hätte in der Lage sein sollen, über das Asylgesuch vom 10. September 2009 zu befinden. Die Befragungen (Flughafenpolizei/Bundesamt) waren Ende September 2009 abgeschlossen und die für einen Entscheid massgebenden Beweismittel in deutscher Übersetzung vorhanden. Einzig ein im Zusammenhang mit den bereits vorhandenen Gerichtsakten stehendes Dokument wurde am 21. Juni 2010 in deutscher Teilübersetzung noch nachgereicht (vgl. Bst. H hiervor). Aus einer als unwesentliche Akte bezeichneten Aktennotiz vom 26. Juli 2010 geht ausserdem hervor, dass das vorliegende Dossier dem behandelnden Sachbearbeiter für einen Entscheid zugewiesen wurde (B 30/1). Mit Ausnahme der Antwortschreiben des BFM hinsichtlich der Verfahrensstandsanfragen des Beschwerdeführers (vgl. Bst. J und K hiervor) sind dem Dossier aber keine Hinweise über irgendwelche von ihm getätigten oder veranlassten Vorkehrungen zu entnehmen. Das BFM nahm somit gemäss Aktenlage seit dem 25. September 2009 (Einreisebewilligung und Kantonszuweisung; Bst. G hiervor) und dem 11. Februar 2013 (Einreichung der Rechtsverzögerungsbeschwerde; Bst. M hiervor) keine namhaften Verfahrenshandlungen vor, dies obwohl es gemäss Art. 41 i.V.m. Art. 37 Abs. 3 AsylG grundsätzlich innerhalb dreier Monate einen Entscheid hätte fällen sollen.</w:t>
      </w:r>
    </w:p>
    <w:p>
      <w:r>
        <w:rPr>
          <w:b/>
        </w:rPr>
        <w:t>E. 2.3.3</w:t>
      </w:r>
    </w:p>
    <w:p>
      <w:r>
        <w:t>Da die soeben dargelegte Behandlungsfrist bei weitem überschritten wurde und das BFM im vorliegend zu beurteilenden Fall - wie in der Beschwerde vom 11. Februar 2013 sowie der Stellungnahme vom 22. März 2013 grundsätzlich zutreffend ausgeführt wird - beinahe dreieinhalb Jahre lang untätig geblieben ist, ist das Vorgehen der Vorinstanz im Verfahren des Beschwerdeführers als Rechtsverzögerung im Sinne von Art. 46a VwVG zu qualifizieren. An dieser Einschätzung ändern auch die Vorbringen des BFM in seiner Vernehmlassung nichts, da diese auch in Anbetracht der notorischen Überlastung des Bundesamtes den ausbleibenden Entscheid über das Asylgesuch des Beschwerdeführers nicht zu rechtfertigen vermögen.</w:t>
      </w:r>
    </w:p>
    <w:p>
      <w:r>
        <w:rPr>
          <w:b/>
        </w:rPr>
        <w:t>E. 3</w:t>
      </w:r>
    </w:p>
    <w:p>
      <w:r>
        <w:t>Die Rüge der Rechtsverzögerung erweist sich nach dem Gesagten als begründet. Die Beschwerde ist gutzuheissen, und die Akten sind an das BFM zurückzuleiten mit der Anweisung, umgehend über das Asylgesuch vom 10. September 2009 zu befinden.</w:t>
      </w:r>
    </w:p>
    <w:p>
      <w:r>
        <w:rPr>
          <w:b/>
        </w:rPr>
        <w:t>E. 4.1</w:t>
      </w:r>
    </w:p>
    <w:p>
      <w:r>
        <w:t>Dem Ausgang des Verfahrens entsprechend sind keine Kosten zu erheben (Art. 63 Abs. 1 und 2 VwVG). Das mit der Beschwerde eingereichte Gesuch um Gewährung der unentgeltlichen Rechtspflege gemäss Art. 65 Abs. 1 VwVG ist gegenstandslos geworden.</w:t>
      </w:r>
    </w:p>
    <w:p>
      <w:r>
        <w:rPr>
          <w:b/>
        </w:rPr>
        <w:t>E. 4.2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Der Rechtsvertreter des Beschwerdeführers reichte keine Kostennote ein. Der notwendige Vertretungsaufwand lässt sich aber aufgrund der Aktenlage und in Anlehnung an ähnlich gelagerte Fälle zuverlässig abschätzen. Die Parteientschädigung ist unter Berücksich­tigung der massgebenden Berechnungsfaktoren von Amtes wegen auf Fr. 800.- festzusetzen. Das BFM ist zu verpflichten,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