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D-6918/2014 vom 4. Juni 2015</w:t>
      </w:r>
    </w:p>
    <w:p>
      <w:r>
        <w:t>Bundesverwaltungsgericht, 2015-06-04, DE</w:t>
      </w:r>
    </w:p>
    <w:p>
      <w:r>
        <w:rPr>
          <w:b/>
        </w:rPr>
        <w:t xml:space="preserve">Quelle: </w:t>
      </w:r>
      <w:r>
        <w:t>https://mcp.opencaselaw.ch/entscheid/bvger_D-6918_2014</w:t>
      </w:r>
    </w:p>
    <w:p>
      <w:r>
        <w:t>FR: TAF D-6918/2014 du 4 juin 2015</w:t>
      </w:r>
    </w:p>
    <w:p>
      <w:r>
        <w:t>IT: TAF D-6918/2014 del 4 giugno 2015</w:t>
      </w:r>
    </w:p>
    <w:p>
      <w:pPr>
        <w:pStyle w:val="Heading2"/>
      </w:pPr>
      <w:r>
        <w:t>Regeste</w:t>
      </w:r>
    </w:p>
    <w:p>
      <w:r>
        <w:t>Asylgesuch aus dem Ausland und Einreisebewilligung</w:t>
      </w:r>
    </w:p>
    <w:p>
      <w:pPr>
        <w:pStyle w:val="Heading2"/>
      </w:pPr>
      <w:r>
        <w:t>Erwägungen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(aArt. 12, 19, 20, 41 Abs. 2, 52 und 68 AsylG) in der bisherigen Fassung anwendbar sind. Demnach sind auf den vorliegenden Fall die altrechtlichen Bestimmungen betreffend das Asyl­verfahren anzuwenden.</w:t>
      </w:r>
    </w:p>
    <w:p>
      <w:r>
        <w:rPr>
          <w:b/>
        </w:rPr>
        <w:t>E. 5</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dies ist vorliegend der Fall.</w:t>
      </w:r>
    </w:p>
    <w:p>
      <w:r>
        <w:rPr>
          <w:b/>
        </w:rPr>
        <w:t>E. 6.1</w:t>
      </w:r>
    </w:p>
    <w:p>
      <w:r>
        <w:t>Die Vorinstanz kann ein im Ausland gestelltes Asylgesuch ablehnen, wenn die asylsuchende Person keine Verfolgung glaubhaft machen kann oder ihr die Aufnahme in einem Drittstaat zugemutet werden kann (vgl. Art. 3, Art. 7 und aArt. 52 Abs. 2 AsylG).</w:t>
      </w:r>
    </w:p>
    <w:p>
      <w:r>
        <w:rPr>
          <w:b/>
        </w:rPr>
        <w:t>E. 6.2</w:t>
      </w:r>
    </w:p>
    <w:p>
      <w:r>
        <w:t>Gemäss aArt. 20 Abs. 2 AsylG bewilligt die Vorinstanz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6.3</w:t>
      </w:r>
    </w:p>
    <w:p>
      <w:r>
        <w:t>Nach Prüfung der Akten durch das Gericht ist festzustellen, dass die Vorinstanz in der angefochtenen Verfügung überzeugend dargelegt hat, dass den von der Beschwerdeführerin geltend gemachtem schwierigen Lebensbedingungen und familiäre Problemen keine einreiserelevante Bedeutung zukommt. Es kann deshalb vorab auf die vorinstanzlichen Erwägungen verwiesen werden (vgl. vorstehend unter D.). An dieser Einschätzung können auch die weiteren Ausführungen der Beschwerdeführerin in ihrer Rechtsmitteleingabe nichts ändern, zumal sie lediglich ihre familiäre und finanzielle Situation erneut darlegt und erstmals geltend macht, sie sei in den vergangenen 20 Jahren "without any permanent job" gewesen. Demgegenüber gab sie bei der Botschaftsanhörung vom 20. Juni 2014 zu Protokoll, sie arbeite gegen Bezahlung seit vier Jahren als "Trainee Colonisation Officier" im Norden (vgl. Akten der Vorinstanz A8/6 S. 2), und ihre jüngere Schwester arbeite mittlerweile als "development officer" bei einer staatlichen Behörde (vgl. A8/6 S. 3). Vor diesem Hintergrund ist festzuhalten, dass die Beschwerdeführerin ein Erwerbseinkommen erzielt. Zudem hat sie auch ausdrücklich erklärt, sie erleide keine Bedrohungen (vgl. A8/6 S. 4). Das Bundesverwaltungsgericht schliesst sich somit den Ausführungen der Vorinstanz vollumfänglich an, zumal sich aus der Beschwerde nichts ergibt, was die Erwägungen der Vorinstanz entkräften könnte.</w:t>
      </w:r>
    </w:p>
    <w:p>
      <w:r>
        <w:rPr>
          <w:b/>
        </w:rPr>
        <w:t>E. 6.4</w:t>
      </w:r>
    </w:p>
    <w:p>
      <w:r>
        <w:t>Somit ist es der Beschwerdeführerin nicht gelungen, eine aktuelle Gefähr­dung im Sinne von Art. 3 AsylG aufzuzeigen, welche die Bewilligung der Einreise in die Schweiz rechtfertigen würde. Die Schutzbedürftigkeit der Beschwerdeführerin im Sinne von aArt. 20 i.V.m. Art. 3 AsylG ist nicht gegeben. Im Übrigen ist auch eine Beziehungsnähe der Beschwerdefüh­rerin zur Schweiz zu verneinen (aArt. 52 Abs. 2 AsylG). Die Vorinstanz hat der Beschwerdeführerin zu Recht die Einreise in die Schweiz verweigert und das Asylgesuch abgelehnt. 7.Aus diesen Erwägungen ergibt sich, dass die angefochtene Verfügung Bundesrecht nicht verletzt und den rechtserheblichen Sachverhalt richtig und vollständig feststellt (Art. 106 Abs. 1 AsylG). Die Beschwerde ist da­her abzuweisen. 8.Bei diesem Ausgang des Verfahrens wären dessen Kosten grundsätzlich der Beschwerdeführerin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