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D-6916/2016 vom 7. August 2018</w:t>
      </w:r>
    </w:p>
    <w:p>
      <w:r>
        <w:t>Bundesverwaltungsgericht, 2018-08-07, DE</w:t>
      </w:r>
    </w:p>
    <w:p>
      <w:r>
        <w:rPr>
          <w:b/>
        </w:rPr>
        <w:t xml:space="preserve">Quelle: </w:t>
      </w:r>
      <w:r>
        <w:t>https://mcp.opencaselaw.ch/entscheid/bvger_D-6916_2016</w:t>
      </w:r>
    </w:p>
    <w:p>
      <w:r>
        <w:t>FR: TAF D-6916/2016 du 7 août 2018</w:t>
      </w:r>
    </w:p>
    <w:p>
      <w:r>
        <w:t>IT: TAF D-6916/2016 del 7 agosto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1.4</w:t>
      </w:r>
    </w:p>
    <w:p>
      <w:r>
        <w:t>Die Stellungnahme vom 8. Mai 2018 wurde der Beschwerdeführerin bisher nicht zur Kenntnis gebracht. Im Sinne der Transparenz und aus Gründen der Prozessökonomie wird ihr das Doppel mit dem vorliegenden Urteil zugestellt.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4.5</w:t>
      </w:r>
    </w:p>
    <w:p>
      <w:r>
        <w:t>Den Akten zufolge hatte die italienische Vertretung in Irak der Beschwerdeführerin am 3. Mai 2016 ein Schengenvisum ausgestellt. Die Zuständigkeit Italiens ergibt sich entsprechend aus Art. 12 Abs. 2 Dublin-III-VO. Das SEM ersuchte die italienischen Behörden am 24. August 2016 um Aufnahme der Beschwerdeführerin gestützt auf Art. 21 Dublin-III-VO. Die italienischen Behörden liessen das Aufnahmeersuchen des SEM innert der in Art. 22 Abs. 1 Dublin-III-VO vorgesehenen Frist unbeantwortet, womit sie ihre Zuständigkeit infolge der sogenannten Verfristung de facto anerkannten (Art. 22 Abs. 7 Dublin-III-VO). Die grundsätzliche Zuständigkeit Italiens für die Durchführung des Asylverfahrens der Beschwerdeführerin ist somit gegeben.</w:t>
      </w:r>
    </w:p>
    <w:p>
      <w:r>
        <w:rPr>
          <w:b/>
        </w:rPr>
        <w:t>E. 5.1</w:t>
      </w:r>
    </w:p>
    <w:p>
      <w:r>
        <w:t>Gemäss Art. 3 Abs. 2 Sätze 2 und 3 Dublin-III-VO wird der die Zuständigkeit prüfende Mitgliedstaat für die Durchführung des Asylverfahrens zuständig, falls es sich als unmöglich erweist, die gesuchstellende Person in den eigentlich zuständigen Mitgliedstaat zu überstellen, weil es wesentliche Gründe für die Annahme gibt, dass das Asylverfahren und die Aufnahmebedingungen für die schutzsuchenden Personen in jenem Mitgliedstaat systemische Schwachstellen aufweisen, die eine Gefahr einer unmenschlichen oder entwürdigenden Behandlung im Sinne von Art. 4 der EU-Grundrechtecharta (ABl. C 364/1 vom 18.12.2000) mit sich bringen und nach den Regeln der Dublin-III-VO kein anderer zuständiger Mitgliedstaat bestimmt werden kann.</w:t>
      </w:r>
    </w:p>
    <w:p>
      <w:r>
        <w:rPr>
          <w:b/>
        </w:rPr>
        <w:t>E. 5.2</w:t>
      </w:r>
    </w:p>
    <w:p>
      <w:r>
        <w:t>Das Bundesverwaltungsgericht geht im heutigen Zeitpunkt, sowenig wie der EGMR, davon aus, in Italien lägen in den Aufnahmebedingungen systemische Mängel begründet, obwohl ernsthafte Zweifel an den ausreichenden Kapazitäten des italienischen Systems nicht von der Hand zu weisen sind (vgl. BVGE 2015/4 E. 4.1, sowie die Urteile des EGMR Tarakhel gegen die Schweiz vom 4. November 2014 [Grosse Kammer 29217/12] §§ 114 f. und 120; A.S. gegen die Schweiz vom 30. Juni 2015 § 36; T. gegen die Schweiz vom 4. November 2014 [Nr. 29217/12] §§ 114 f. und 120).</w:t>
      </w:r>
    </w:p>
    <w:p>
      <w:r>
        <w:rPr>
          <w:b/>
        </w:rPr>
        <w:t>E. 6.1</w:t>
      </w:r>
    </w:p>
    <w:p>
      <w:r>
        <w:t>Weiter ist der Frage nachzugehen, ob für die Beschwerdeführerin in einer individuellen Betrachtung eine Gefährdung nach Art. 3 EMRK aufgezeigt ist, woraus sich - abweichend von Art. 3 Abs. 1 Dublin-III-VO - zwingende Gründe für die Ausübung der Ermessensklausel und für einen Selbsteintritt nach Art. 17 Abs. 1 Dublin-III-VO ergeben würden.</w:t>
      </w:r>
    </w:p>
    <w:p>
      <w:r>
        <w:rPr>
          <w:b/>
        </w:rPr>
        <w:t>E. 6.2</w:t>
      </w:r>
    </w:p>
    <w:p>
      <w:r>
        <w:t>In der Beschwerde rügte die Beschwerdeführerin unter Berufung auf Art. 3 EMRK, das SEM habe bei den italienischen Behörden keinerlei Garantien für ihre adäquate medizinische Versorgung und eine ihrem Zustand angemessene Unterkunft eingeholt. Die italienischen Behörden hätten bisher gar keine Kenntnis von ihrem Zustand und dem nötigen Pflegeaufwand, weshalb sie angesichts der Unterbringungslücken im italienischen Asylsystem ohne entsprechende individuelle Zusicherungen dort nicht auf ein menschenwürdiges Dasein hoffen könne. Ohne die Einholung von entsprechenden Zusicherungen sei ihre Überstellung nach Italien deshalb nicht zulässig und ferner aus humanitären Erwägungen auch nicht zumutbar. Die Beschwerdeführerin nimmt damit für sich in Anspruch, dass die Schweizer Behörden die durch den EGMR im Urteil Tarakhel gegen die Schweiz entwickelten Grundsätze auch in ihrem Fall hätten berücksichtigen müssen.</w:t>
      </w:r>
    </w:p>
    <w:p>
      <w:r>
        <w:rPr>
          <w:b/>
        </w:rPr>
        <w:t>E. 6.3</w:t>
      </w:r>
    </w:p>
    <w:p>
      <w:r>
        <w:t>Aus Sicht der Vorinstanz wurde dem Gesundheitszustand der Beschwerdeführerin in der ursprünglichen Verfügung genügend Rechnung getragen. Das SEM geht davon aus, dass sie als verletzliche Person in Italien nach Einreichung eines Asylgesuchs Zugang zu den nötigen Leistungen des dortigen Gesundheitssystems erhalten werde. Zusätzliche Garantien müssten nicht eingeholt werden. Ohnehin gälten die vom EGMR im Urteil Tarakhel niedergelegten Grundsätze nur, sofern Familien mit Kindern nach Italien überstellt würden. Man werde jedoch gemäss den Vorgaben der Dublin-III-VO in Art. 31 und 32 die italienischen Behörden vor der Überstellung entsprechend informieren, auch die Reisefähigkeit der Beschwerdeführerin werde unmittelbar vor der Überstellung überprüft werden.</w:t>
      </w:r>
    </w:p>
    <w:p>
      <w:r>
        <w:rPr>
          <w:b/>
        </w:rPr>
        <w:t>E. 6.4</w:t>
      </w:r>
    </w:p>
    <w:p>
      <w:r>
        <w:t>Bei der Berücksichtigung von Gesundheitsvorbringen im Rahmen des Dublin-Verfahrens orientiert sich das Bundesverwaltungsgericht in seiner Rechtsprechung an folgenden Grundsätzen: Eine Überstellung in einen Dublin-Mitgliedstaat führt unter dem Aspekt der gesundheitlichen Situation einer schutzsuchenden Person nur unter ganz aussergewöhnlichen Umständen zur Annahme eines Verstosses gegen Art. 3 EMRK, nämlich dann, wenn gewichtige Gründe dafür sprechen, dass eine tatsächliche Gefahr ("real risk") einer solchen Verletzung besteht (vgl. BVGE 2011/9 E. 7 m.w.H.; EGMR, A.M. gegen Schweiz, Urteil vom 3. November 2015 [Nr. 37466/13] § 17; A.S. gegen Schweiz, a.a.O., § 25 ff.). Hinsichtlich der Anforderungen an die Abschiebung schwerkranker Personen hielt der EGMR im Urteil Paposhvili gegen Belgien vom 13. Dezember 2016 (Nr. 41738/10) präzisierend fest, eine Abschiebung sei nicht nur unzulässig, wenn der Tod des abzuschiebenden Ausländers unmittelbar bevorstehe. Besondere Ausnahmefälle, die einer Abschiebung entgegenstehen könnten, seien vielmehr auch dann anzunehmen, wenn schwerkranken Personen im Falle einer Abschiebung eine baldige und wesentliche Verschlechterung ihres Gesundheitszustandes drohe (§ 183 ff.). Im Hinblick auf die anerkanntermassen geforderte Schwere der Beeinträchtigung, die der EGMR für die Anwendbarkeit von Art. 3 EMRK unter dem Aspekt gesundheitlicher Gründe voraussetzt, verweist der EGMR explizit auf die Umstände des jeweiligen Einzelfalles (u.a. A.M.E. gegen Niederlande vom 13. Januar 2015 [Nr. 51428/10] § 28 und A.S. gegen Schweiz, a.a.O., § 26).</w:t>
      </w:r>
    </w:p>
    <w:p>
      <w:r>
        <w:rPr>
          <w:b/>
        </w:rPr>
        <w:t>E. 6.5</w:t>
      </w:r>
    </w:p>
    <w:p>
      <w:r>
        <w:t>Ob für die offenkundig in ihrer physischen Gesundheit schwer beeinträchtigte Beschwerdeführerin im Fall einer Überstellung nach Italien zum heutigen Zeitpunkt ein "real risk" besteht, in ihren durch Art. 3 EMRK geschützten Rechtspositionen verletzt zu werden, kann vorliegend offen bleiben, da die angefochtene Verfügung, wie im Folgenden ausgeführt wird, bereits aus anderen Gründen aufzuheben ist.</w:t>
      </w:r>
    </w:p>
    <w:p>
      <w:r>
        <w:rPr>
          <w:b/>
        </w:rPr>
        <w:t>E. 7.1</w:t>
      </w:r>
    </w:p>
    <w:p>
      <w:r>
        <w:t>Zwar teilt das Bundesverwaltungsgericht die Vorbehalte der Vor-instanz betreffend den von der Beschwerdeführerin geschilderten Sachverhalt. Ihre Angaben zu den Umständen, unter welchen sie verletzt und zum Pflegefall geworden sein soll, sind sehr vage. Auch ihr Reiseweg ist im Dunkeln geblieben und ihre diesbezüglichen Angaben werfen Fragezeichen auf. Unbestritten ist aber, dass sie als (...) intensiv pflegebedürftig ist und deshalb einer dauerhaften und aufwändigen Betreuung bedarf. In jedem Fall ist die Beschwerdeführerin eine sehr vulnerable Person.</w:t>
      </w:r>
    </w:p>
    <w:p>
      <w:r>
        <w:rPr>
          <w:b/>
        </w:rPr>
        <w:t>E. 7.2</w:t>
      </w:r>
    </w:p>
    <w:p>
      <w:r>
        <w:t>Obwohl das Bundesverwaltungsgericht in seinem Grundsatzurteil BVGE 2017 VI/10 die Sicht der Vorinstanz bestätigt hat, wonach der EGMR im Urteil Tarakhel nur Vorgaben für Überstellungen von Familien mit Kindern nach Italien habe machen wollen, weshalb entsprechende Garantien nicht zwingend auch bei anderen verletzlichen Personen eingeholt werden müssen (E. 5), so muss doch festgestellt werden, dass der vorliegende Fall Herausforderungen an die Betreuung und die medizinische Versorgung stellt, die weit über das normale Mass der Unterbringung und Versorgung von Asylsuchenden hinausgehen. Die gesundheitliche Notlage der Beschwerdeführerin ist gravierend, weshalb der pauschale Hinweis der Vor-instanz in ihrem Entscheid vom 27. Oktober 2016, wonach die Beschwerdeführerin in Italien Zugang zu den notwendigen Leistungen im Sinne einer medizinischen Notversorgung haben werde, sehr verkürzt ist. Es ist auch unklar, ob die von der Vorinstanz im Beschwerdeverfahren in Aussicht gestellten Massnahmen im Rahmen ihrer Informationsverpflichtungen aus Art. 31 und 32 Dublin-III-VO ausreichend wären. Immerhin müssten die italienischen Behörden die Beschwerdeführerin unmittelbar nach der Ankunft in einer entsprechenden Intensivpflegeeinrichtung unterbringen. Die Vor-instanz hat gegenüber den italienischen Behörden im Rahmen der Take-Charge-Anfrage vom 24. August 2016 die spezielle gesundheitliche Situation der Beschwerdeführerin nicht erwähnt, sondern lediglich auf die Erteilung des Visums durch die italienischen Behörden hingewiesen (vgl. act. A178/6, S. 5). Zwar ist das Bundesverwaltungsgericht wie bereits erwähnt in seinem Grundsatzurteil zum Ergebnis gekommen, dass die Zulässigkeit der Überstellung von anderen vulnerablen Personengruppen nach Italien nicht von der Einholung individueller Garantien abhängt. Jedoch ist zu bemerken, dass es aus Aspekten einer guten partnerschaftlichen Zusammenarbeit und aus Gründen der Transparenz allenfalls angezeigt gewesen wäre, die italienischen Behörden von Anfang an über die besondere Situation der Beschwerdeführerin zu informieren. Dies auch, weil die notorischen Unterbringungsengpässe des italienischen Systems seit Jahren bekannt sind und die dortigen Behörden zum Zeitpunkt der Anfrage des SEM im Jahr 2016 mit 123'370 neuen Gesuchen stark belastet waren.</w:t>
      </w:r>
    </w:p>
    <w:p>
      <w:r>
        <w:rPr>
          <w:b/>
        </w:rPr>
        <w:t>E. 7.3</w:t>
      </w:r>
    </w:p>
    <w:p>
      <w:r>
        <w:t>Aufgrund der mit der Streichung des ehemaligen Art. 106 Abs. 1 Bst. c AsylG einhergehenden Kognitionsbeschränkung muss das Bundesverwaltungsgericht den dem SEM zustehenden Handlungsspielraum respektieren und kann lediglich prüfen, ob das SEM sein Ermessen gesetzeskonform ausgeübt hat (BVGE 2015/9 E. 8). Vorliegend ist festzuhalten, dass das SEM keine genügende Ermessensabwägung aller beachtlichen Faktoren betreffend die humanitäre Situation der Beschwerdeführerin vorgenommen hat, jedenfalls ist eine solche aus der angefochtenen Verfügung nicht ersichtlich. Die Vorinstanz wies in standardisierter Weise darauf hin, dass der Beschwerdeführerin in Italien der Zugang zu medizinischer Versorgung offen stehe. Den italienischen Behörden würden die nötigen medizinischen Informationen gemäss Dublin-Prozedere rechtzeitig mitgeteilt, weitere Verpflichtungen würden die Schweizer Behörden nicht treffen. Ausschlaggebend sei schliesslich die vor der Überstellung zu beurteilende Reisefähigkeit der Beschwerdeführerin. Das SEM hat folglich von seinem in Art. 29a Abs. 3 AsylV1 eingeräumten Ermessensspielraum (siehe dazu auch BVGE 2015/9 E. 7) nicht in rechtsgenüglicher Weise Gebrauch gemacht und das ihm eingeräumte Ermessen damit nicht gesetzeskonform ausgeübt.</w:t>
      </w:r>
    </w:p>
    <w:p>
      <w:r>
        <w:rPr>
          <w:b/>
        </w:rPr>
        <w:t>E. 8.1</w:t>
      </w:r>
    </w:p>
    <w:p>
      <w:r>
        <w:t>Der Europäische Gerichthof (EuGH) stellte in mehreren Urteilen fest, dass ein "unangemessen langes" Verfahren zur Bestimmung des zuständigen Mitgliedstaats dazu führen kann, dass der Mitgliedstaat, in dem sich die asylsuchende Person aufhält, den Antrag auf internationalen Schutz nach den Modalitäten von Art. 3 Abs. 2 Dublin-III-VO selbst prüfen muss (vgl. EuGH, Rechtssache N.S. u.a., C-411/10 und C- 93/10, Entscheid vom 21.12.2011, Rn 98; EuGH, C-4/11 i.S. Puid, Entscheid vom 14.11.2013, Rn 35, EuGH, C-578/16 i.S. C. K., H. F., A. S., Entscheid vom 16.02.2017, Rn 57, 58). Das Verfahren zur Bestimmung des für das Asylgesuch der Beschwerdeführerin zuständigen Mitgliedstaats dauert inzwischen mehr als zwei Jahre an, ohne dass sie dies zu verschulden hätte.</w:t>
      </w:r>
    </w:p>
    <w:p>
      <w:r>
        <w:rPr>
          <w:b/>
        </w:rPr>
        <w:t>E. 8.2</w:t>
      </w:r>
    </w:p>
    <w:p>
      <w:r>
        <w:t>Das vorliegende Beschwerdeverfahren ist seit mehr als 18 Monaten hängig. Diese lange Verfahrensdauer hat das Bundesverwaltungsgericht zu vertreten. Sie ist dem Umstand geschuldet, dass das Urteil über den vorliegenden Beschwerdefall erst getroffen werden konnte, nachdem das Gericht die bei Gesuchseinreichung noch offene Frage zur Anwendung der Tarakhel-Grundsätze auf andere vulnerable Personengruppen in seinem Grundsatzurteil BVGE 2017 VI/10 beantwortet hatte.</w:t>
      </w:r>
    </w:p>
    <w:p>
      <w:r>
        <w:rPr>
          <w:b/>
        </w:rPr>
        <w:t>E. 8.3</w:t>
      </w:r>
    </w:p>
    <w:p>
      <w:r>
        <w:t>Die Dauer des Verfahrens (beziehungsweise der Anwesenheit in der Schweiz) - soweit sie nicht von den betroffenen Personen selbst verursacht oder verschuldet worden ist - ist einer der Faktoren, die in der Prüfung des humanitären Selbsteintritts in Betracht zu ziehen sind (vgl. Jean-Pierre Monnet, La jurisprudence du Tribunal administratif fédéral en matière de transferts Dublin, in: Breitenmoser/Gless/Lagodny, [Hrsg.], Schengen und Dublin in der Praxis, Aktuelle Fragen, 2015; S. 427 f.). Vorliegend ist die lange Dauer des Beschwerdeverfahrens allein dem Umstand geschuldet, dass der Einzelfall Fragen aufwarf, zu deren Klärung beim Bundesverwaltungsgericht ein Grundsatzurteil in Erarbeitung war, das den Einbezug von drei Abteilungen des Bundesverwaltungsgerichts erforderte (vgl. BVGE 2017 VI/10 E. 6). Die Vorinstanz ist gehalten, die Gründe für einen Selbsteintritt vertieft zu prüfen.</w:t>
      </w:r>
    </w:p>
    <w:p>
      <w:r>
        <w:rPr>
          <w:b/>
        </w:rPr>
        <w:t>E. 8.4</w:t>
      </w:r>
    </w:p>
    <w:p>
      <w:r>
        <w:t>In einer Gesamtwürdigung dieser Faktoren - unzureichende Ermessensüberprüfung im Hinblick auf die weitgehende Hilflosigkeit der Beschwerdeführerin, die voraussichtlich dauerhaft auf Intensivpflege angewiesen sein wird, und die überlange, von der Beschwerdeführerin nicht zu vertretende Verfahrensdauer - erachtet das Bundesverwaltungsgericht es für angezeigt, den Entscheid der Vorinstanz vom 27. Oktober 2016 aufzuheben und die Sache in Anwendung von Art. 61 Abs. 1 VwVG zur pflichtgemässen Ermessensabwägung und zur Neubeurteilung im Sinne der Erwägungen an die Vorinstanz zurückzuweisen.</w:t>
      </w:r>
    </w:p>
    <w:p>
      <w:r>
        <w:rPr>
          <w:b/>
        </w:rPr>
        <w:t>E. 9</w:t>
      </w:r>
    </w:p>
    <w:p>
      <w:r>
        <w:t>Bei diesem Ausgang des Verfahrens sind keine Kosten zu erheben.</w:t>
      </w:r>
    </w:p>
    <w:p>
      <w:r>
        <w:rPr>
          <w:b/>
        </w:rPr>
        <w:t>E. 10</w:t>
      </w:r>
    </w:p>
    <w:p>
      <w:r>
        <w:t>Bei Gutheissung der Beschwerde ist die Beschwerdeführerin für die ihr erwachsenen notwendigen Kosten zu entschädigen (Art. 64 Abs. 1 VwVG; Art. 7 f. VGKE). Der Rechtsvertreter hat keine Kostennote vorgelegt, weshalb der Aufwand aufgrund der Akten zu bestimmen ist (Art. 14 Abs. 2 in fine VGKE). Gestützt auf die in Betracht zu ziehenden Bemessungsfaktoren (Art. 9-13 VGKE) wäre die von der Vorinstanz geschuldete Parteientschädigung auf insgesamt Fr. 2100.- (inkl. Auslagen und Mehrwertsteuer) festzusetzen. Das Gericht berücksichtigt in diesem Zusammenhang jedoch, dass die Gutheissung der Beschwerde auch auf die lange Zeitdauer des vorliegenden Verfahrens zurückzuführen ist. Demnach ist die Parteientschädigung angemessen zu kürzen und unter Berücksichtigung der massgeblichen Bemessungsfaktoren (Art. 8-13 VGKE) auf Fr. 1050.- festzusetzen. Für den über die Parteientschädigung hinausgehend entstandenen Aufwand wird der mit Zwischenverfügung vom 17. November 2018 als amtlicher Anwalt eingesetzte Rechtsvertreter aus der Gerichtskasse entschädigt (vgl. Art. 12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