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D-6915/2010 vom 2. November 2010</w:t>
      </w:r>
    </w:p>
    <w:p>
      <w:r>
        <w:t>Bundesverwaltungsgericht, 2010-11-02, DE</w:t>
      </w:r>
    </w:p>
    <w:p>
      <w:r>
        <w:rPr>
          <w:b/>
        </w:rPr>
        <w:t xml:space="preserve">Quelle: </w:t>
      </w:r>
      <w:r>
        <w:t>https://mcp.opencaselaw.ch/entscheid/bvger_D-6915_2010</w:t>
      </w:r>
    </w:p>
    <w:p>
      <w:r>
        <w:t>FR: TAF D-6915/2010 du 2 novembre 2010</w:t>
      </w:r>
    </w:p>
    <w:p>
      <w:r>
        <w:t>IT: TAF D-6915/2010 del 2 novembre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1.3.1</w:t>
      </w:r>
    </w:p>
    <w:p>
      <w:r>
        <w:t>Die Beschwerde ist zwar nicht in einer Amtssprache des Bundes abgefasst, doch wird vorliegend aus prozessökonomischen Gründen auf eine Rückweisung der englischsprachigen Rechtsmitteleingabe zur Übersetzung in eine Amtssprache verzichtet, da das Rechtsbegehren verständlich ist und das Bundesverwaltungsgericht praxisgemäss Beschwerden wie die vorliegende im Sinne einer Ausnahme entgegennimmt, ohne eine Übersetzung zu verlangen. Der Entscheid des Gerichts ergeht indessen in deutscher Sprache (vgl. Art. 33 Abs. 2 VwVG i.V.m. Art. 6 AsylG).</w:t>
      </w:r>
    </w:p>
    <w:p>
      <w:r>
        <w:rPr>
          <w:b/>
        </w:rPr>
        <w:t>E. 1.3.2</w:t>
      </w:r>
    </w:p>
    <w:p>
      <w:r>
        <w:t>Vorliegend besteht hinsichtlich des genauen Zeitpunktes der Eröffnung des vorinstanzlichen Entscheides eine gewisse Unsicherheit, doch liegt in einem solchen Fall die Beweislast bei den Behörden (vgl. André Moser/Michael Beusch/Lorenz Kneubühler, Prozessieren vor dem Bundesverwaltungsgericht, Handbücher für die Anwaltspraxis, Band X, Basel 2008, Rz. 3.150, S. 166 f.). Demnach wird von der Rechtzeitigkeit der Beschwerdeeinreichung ausgegangen</w:t>
      </w:r>
    </w:p>
    <w:p>
      <w:r>
        <w:rPr>
          <w:b/>
        </w:rPr>
        <w:t>E. 1.4</w:t>
      </w:r>
    </w:p>
    <w:p>
      <w:r>
        <w:t>Die Beschwerde ist frist- und formgerecht (siehe vorstehend) eingereicht (Art. 108 Abs. 1 AsylG, Art. 105 AsylG i.V.m. Art. 37 VGG und Art. 48 und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 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E.5.7), was vorliegend erfolgt ist (vgl. Erwägung D. vorstehend). Ausserdem hat das BFM hat den Verzicht auf eine Befragung zu begründen (vgl. BVGE 2007/30 E.5.6-5.7), was ebenfalls geschehen ist.</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5</w:t>
      </w:r>
    </w:p>
    <w:p>
      <w:r>
        <w:t>Die Vorbringen in der Rechtsmitteleingabe vom 1. September 2010 (Eingangsstempel vom 7. September 2010) sind nicht geeignet, eine Änderung der vorinstanzlichen Verfügung zu bewirken. Der Argumentation des BFM werden keine stichhaltigen und substanziierten Gründe entgegengesetzt. Eine diesbezügliche Auseinandersetzung unterbleibt zwar nicht gänzlich, die Ausführungen der Beschwerdeführerin vermögen aber die Erwägungen des BFM nicht umzustossen. Zur Vermeidung von Wiederholungen wird auf die zutreffenden Erwägungen in der angefochtenen Verfügung verwiesen. Für das Bundesverwaltungsgericht besteht somit nach Überprüfung der Akten keine Veranlassung, die Erwägungen des Bundesamtes zu beanstanden. Nach dem Gesagten erfüllt die Beschwerdeführerin die Flüchtlingseigenschaft nach Art. 3 AsylG nicht.</w:t>
      </w:r>
    </w:p>
    <w:p>
      <w:r>
        <w:rPr>
          <w:b/>
        </w:rPr>
        <w:t>E. 6</w:t>
      </w:r>
    </w:p>
    <w:p>
      <w:r>
        <w:t>Unter diesen Umständen erübrigt es sich, auf die weiteren Vorbringen in der Beschwerde sowie die eingereichten Beweismittel einzugehen, da sie am Ergebnis nichts zu ändern vermögen. Es ist der Beschwerdeführerin nicht gelungen, eine Verfolgung im Sinne von Art. 3 AsylG nachzuweisen oder zumindest glaubhaft zu machen. Die Schutzbedürftigkeit der Beschwerdeführerin im Sinne von Art. 20 i.V.m. Art. 3 AsylG ist mithin als nicht gegeben zu qualifizieren, und es liegen auch keine anderen Gründe vor, welche die Erteilung einer Einreisebewilligung indizieren würden.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der Beschwerdeführerin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