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D-690/2019 vom 27. Februar 2023</w:t>
      </w:r>
    </w:p>
    <w:p>
      <w:r>
        <w:t>Bundesverwaltungsgericht, 2023-02-27, FR</w:t>
      </w:r>
    </w:p>
    <w:p>
      <w:r>
        <w:rPr>
          <w:b/>
        </w:rPr>
        <w:t xml:space="preserve">Quelle: </w:t>
      </w:r>
      <w:r>
        <w:t>https://mcp.opencaselaw.ch/entscheid/bvger_D-690_2019</w:t>
      </w:r>
    </w:p>
    <w:p>
      <w:r>
        <w:t>FR: TAF D-690/2019 du 27 février 2023</w:t>
      </w:r>
    </w:p>
    <w:p>
      <w:r>
        <w:t>IT: TAF D-690/2019 del 27 febbraio 2023</w:t>
      </w:r>
    </w:p>
    <w:p>
      <w:pPr>
        <w:pStyle w:val="Heading2"/>
      </w:pPr>
      <w:r>
        <w:t>Regeste</w:t>
      </w:r>
    </w:p>
    <w:p>
      <w:r>
        <w:t>Asile et renvoi</w:t>
      </w:r>
    </w:p>
    <w:p>
      <w:pPr>
        <w:pStyle w:val="Heading2"/>
      </w:pPr>
      <w:r>
        <w:t>Erwägungen</w:t>
      </w:r>
    </w:p>
    <w:p>
      <w:r>
        <w:rPr>
          <w:b/>
        </w:rPr>
        <w:t>E. 1.1</w:t>
      </w:r>
    </w:p>
    <w:p>
      <w:r>
        <w:t>Le recourant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w:t>
      </w:r>
    </w:p>
    <w:p>
      <w:r>
        <w:t>D-690/2019 Page 7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108 al. 1 aLAsi).</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t>D-690/2019 Page 8</w:t>
      </w:r>
    </w:p>
    <w:p>
      <w:r>
        <w:rPr>
          <w:b/>
        </w:rPr>
        <w:t>E. 2.1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5.2- 5.6).</w:t>
      </w:r>
    </w:p>
    <w:p>
      <w:r>
        <w:rPr>
          <w:b/>
        </w:rPr>
        <w:t>E. 2.2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w:t>
      </w:r>
    </w:p>
    <w:p>
      <w:r>
        <w:t>D-690/2019 Page 9 l'on ne saurait exiger d'elle qu'elle rentre dans son pays (cf. ATAF 2010/57 consid. 2.5 ; 2010/44 consid. 3.3 et 3.4).</w:t>
      </w:r>
    </w:p>
    <w:p>
      <w:r>
        <w:rPr>
          <w:b/>
        </w:rPr>
        <w:t>E. 2.3</w:t>
      </w:r>
    </w:p>
    <w:p>
      <w:r>
        <w:t>Cela étant, il convient de rappeler que, ni l’aversion au service militaire, ni la crainte de poursuites pénales pour insoumission ou désertion ne justifient en soi une crainte fondée d’être victime de sérieux préjudices au sens de l’art. 3 LAsi (art. 3 al. 3 LAsi ; cf. ATAF 2015/3 consid.5.9 et réf. cit. ; voir également l’arrêt de référence E-2188/2019 du 30 juin 2020 confirmant la pratique du Tribunal dans l’ATAF précité). La qualité de réfugié peut toutefois exceptionnellement être reconnue à un requérant insoumis ou déserteur, si celui-ci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l'exposerait à des préjudices relevant de l'art. 3 al. 1 LAsi ou impliquerait sa participation à des actions prohibées par le droit international public (cf. ATAF 2015/3 précité 4.3 à 4.5 et 5).</w:t>
      </w:r>
    </w:p>
    <w:p>
      <w:r>
        <w:rPr>
          <w:b/>
        </w:rPr>
        <w:t>E. 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w:t>
      </w:r>
    </w:p>
    <w:p>
      <w:r>
        <w:t>D-690/2019 Page 10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w:t>
      </w:r>
    </w:p>
    <w:p>
      <w:r>
        <w:t>En l’occurrence, A._______ a dit avoir été d’une très grande prudence (cf. let. A supra et pv d’audition du 6.7.2017, p. 18, rép. à la quest. no 118) après s’être débarrassé en (…) de ses documents sur les autres religions en sa possession, une fois informé des demandes de renseignements de l’Etelaat à son sujet (cf. pv précité, p. 10, avant-dern. parag.). Il a d’ailleurs même confirmé être parvenu à convaincre le procureur l’ayant interrogé durant (…) qu’il n’avait jamais quitté l’Islam (cf. ibidem, p. 16 s., rép. aux quest. nos 96 à 106). Selon les informations à disposition du Tribunal, le recrutement pour la guerre en Syrie de 2012 à octobre 2015 concernait par ailleurs prioritairement les partisans du régime islamique iranien, comme les Gardiens de la Révolution ou les Bassidji. Il était de surcroît généralement mené sur la base du volontariat à l’exception de certaines catégories très circonscrites de combattants parfois enrôlés sous la contrainte, comme les ressortissants afghans de confession chiite ou les citoyens iraniens fraîchement naturalisés d’origine irakienne, pakistanaise ou afghane, auxquelles l’intéressé n’appartient pas (sur l’ensemble de ces questions, voir plus en détail les arrêts du Tribunal E-3459/2016 [consid.5.2.1] et D-7148/2018 [consid. 3.2 à 3.4] du 30 janvier 2017, respectivement du 18 décembre 2019). Dans ces circonstances, il n’apparaît donc pas hautement probable que la violation par A._______ de sa promesse alléguée de rejoindre les rangs des formations (para-)militaires iraniennes actives en Syrie puisse l’exposer à des sanctions aggravantes complémentaires à celles qu’il</w:t>
      </w:r>
    </w:p>
    <w:p>
      <w:r>
        <w:t>D-690/2019 Page 11 pourrait éventuellement encourir suite au non-accomplissement de son service militaire. En outre, l’intéressé a indiqué avoir été relâché, en (…), après sa condamnation à (…) de prison (…) et peu de temps avant une future entrée au service militaire, en dépit d’une première condamnation à (…) de prison ferme, de son refus allégué de collaborer pour l’Etelaat au début (…), et malgré sa tentative de franchissement illégal de la frontière, une (…) de jours plus tard. Ce alors que ces événements auraient très bien pu légitimer le prononcé d’une peine de prison ferme en lieu et place d’une condamnation (…), ne serait-ce que pour empêcher le recourant de tenter à nouveau de quitter l’Iran et se soustraire ainsi au service militaire. A._______ a certes expliqué que sa libération du mois de (…) avait été obtenue grâce à la mise en gage de l’acte de propriété de commerce de son père D._______ servant à garantir sa prochaine arrivée sous les drapeaux (cf. procès-verbal [ci-après pv] du 6.7.2017, p. 12, rép. à la quest. no 66). L’intéressé a également ajouté que son père avait été menacé de voir retirée son autorisation de commerce au cas où il ne se présenterait pas à l’armée (cf. pv précité, p. 19, rép. à la quest. no 126 : « Depuis que vous êtes en Suisse, est-ce que votre famille a eu des contacts à votre sujet avec des autorités administratives ou militaires iraniennes ? Cette seule et unique fois, quand les autorités sont allées chez mon père. Ils l’ont menacé que si son fils ne venait pas se présenter, on lui retirerait la permission de son commerce et qu’il perdrait énormément d’argent. »). Force est toutefois de constater que, à ce jour, A._______ n’a apporté aucun élément concret établissant ou rendant hautement probable (art. 7 LAsi) l’existence du gage censé grever le fonds de commerce de son père. Par ailleurs et surtout, durant son audition fédérale directe (cf. pv. du 6.7.2017, p. 3, rép. à la quest. no 13), le prénommé a bien précisé n’avoir reçu aucune mauvaise nouvelle de sa famille telle qu’un retrait de l’autorisation de commerce donnée à son père D._______ (cf. parag. précéd.) et/ou la réalisation forcée du fonds de commerce prétendument gagé que sa non-présentation au service militaire aurait logiquement dû déclencher. Pour le reste, il sied de relever que, après l’unique visite de leurs agents chez D._______, postérieure à la fuite de son fils A._______ en Europe, les organes de l’Etat iranien paraissent ne plus s’être vraiment intéressés au recourant et ne semblent en particulier plus avoir menacé ou même interrogé ses proches à son sujet.</w:t>
      </w:r>
    </w:p>
    <w:p>
      <w:r>
        <w:t>D-690/2019 Page 12 Au regard de ce qui précède, et notamment de l’absence d’accusation formelle d’apostasie ou d’activisme religieux contre lui (cf. let B supra), de sa prudence manifestée après les demandes de renseignements de l’Etelaat à son sujet en (…) (cf. let. A supra, 1er parag.), de sa libération peu de temps avant son entrée prévue au service militaire (malgré une première tentative de fuite à l’étranger), ou encore du renoncement apparent de l’Etat iranien à s’en prendre au patrimoine et/ou aux activités commerciales de son père D._______ (cf. supra), l’intéressé n’a pas établi ou même rendu hautement probable que le non-accomplissement de son service militaire en Iran et/ou en Syrie avant son départ l’exposerait à une peine disproportionnée ou hautement discriminatoire ou encore à d’autres préjudices relevant de l’art. 3 LAsi, du fait de sa race, de sa religion, de sa nationalité, de son appartenance à un groupe social ou de ses opinions politiques (cf. consid. 2.3 supra). A la lumière de ces constatations, ses deux condamnations pénales alléguées à (…) de prison (…) et à (…) de prison (…), de surcroît non prouvées, ne sont pas non plus déterminantes pour la reconnaissance de la qualité de réfugié. L’autorité de recours se voit au demeurant confortée dans son appréciation par l’inexistence au dossier de tout élément probatoire concret démontrant, de manière convaincante, que A._______ pourrait être appelé au service militaire à son retour (consid. 9.2 infra). Dans ces conditions, les motifs d’asile invoqués, en ce qu’ils se rapportent aux événements censés avoir amené A._______ à quitter l’Iran, ne peuvent valablement justifier une crainte fondée de persécution future au sens de l’art. 3 LAsi.</w:t>
      </w:r>
    </w:p>
    <w:p>
      <w:r>
        <w:rPr>
          <w:b/>
        </w:rPr>
        <w:t>E. 5.1</w:t>
      </w:r>
    </w:p>
    <w:p>
      <w:r>
        <w:t>Cela dit, il reste à examiner si le recourant doit se voir reconnaître pareille qualité pour des motifs subjectifs postérieurs à la fuite au sens de l’art. 54 LAsi.</w:t>
      </w:r>
    </w:p>
    <w:p>
      <w:r>
        <w:rPr>
          <w:b/>
        </w:rPr>
        <w:t>E. 5.2</w:t>
      </w:r>
    </w:p>
    <w:p>
      <w:r>
        <w:t>Aux termes de cette disposition,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t>D-690/2019 Page 13 En présence de pareils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 Handbuch zum Asyl- und Wegweisungsverfahren, 3ème éd., 2021, p. 246 s.). 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w:t>
      </w:r>
    </w:p>
    <w:p>
      <w:r>
        <w:t>D-690/2019 Page 14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S’agissant plus spécifiquement du risque encouru par un militant qui retourne en Iran après avoir publié des critiques contre le régime sur Internet, il est, selon les sources consultées, difficilement prévisible. Il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 du Tribunal E-3473/2017 du 18 février 2020 consid. 6.4).</w:t>
      </w:r>
    </w:p>
    <w:p>
      <w:r>
        <w:rPr>
          <w:b/>
        </w:rPr>
        <w:t>E. 5.3</w:t>
      </w:r>
    </w:p>
    <w:p>
      <w:r>
        <w:t>A l’appui de sa détermination du 17 mai 2021, A._______ s’est pour l’essentiel limité à répéter ses allégations antérieures sur ses activités oppositionnelles en Suisse (cf. let. C supra, 2ème parag.) et a déposé deux photographies le montrant notamment en train de brandir (…), devant les bureaux de l’ONU, à Genève. Le prénommé n’a toutefois apporté aucun élément véritablement nouveau pouvant réfuter l’argumentation retenue à bon droit par le SEM dans sa réponse du 14 avril 2021 (cf. let E supra, dern. parag.), à laquelle il peut donc être sans autre renvoyé, étant encore précisé que la seule participation à des rassemblements constitue l’expression typique d’activités en exil de masse et ne permet en principe pas, à elle seule, de conclure à l’existence d’un profil politique particulièrement exposé (cf. p. ex. arrêt D-2037/2021 du 2 août 2022 consid. 4.3 et réf. cit). Pour le reste, il convient de rappeler qu’un départ clandestin d’Iran, tout comme le dépôt d’une demande d’asile à l’étranger, ne sont pas en soi suffisants pour fonder une crainte fondée de persécution (voir p. ex. à ce propos les arrêts du Tribunal D-3004/2017, D-2909/2018 [consid. 6] et D-119/2020 [consid. 6.5], du 25 juin 2018, du 1er mai 2020, respectivement du 28 avril 2021).</w:t>
      </w:r>
    </w:p>
    <w:p>
      <w:r>
        <w:t>D-690/2019 Page 15</w:t>
      </w:r>
    </w:p>
    <w:p>
      <w:r>
        <w:rPr>
          <w:b/>
        </w:rPr>
        <w:t>E. 5.4</w:t>
      </w:r>
    </w:p>
    <w:p>
      <w:r>
        <w:t>Dans ces conditions, force est de constater in casu l’absence de motifs subjectifs postérieurs à la fuite au sens de l’art. 54 LAsi.</w:t>
      </w:r>
    </w:p>
    <w:p>
      <w:r>
        <w:rPr>
          <w:b/>
        </w:rPr>
        <w:t>E. 6</w:t>
      </w:r>
    </w:p>
    <w:p>
      <w:r>
        <w:t>Vu ce qui précède, la décision querellée doit être confirmée en ce qu’elle refuse à A._______ la qualité de réfugié et l’asile. Le recours est ainsi rejeté sur ces deux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En l’espèce, le Tribunal est tenu de confirmer le renvoi, aucune des conditions de l’art. 32 de l’ordonnance 1 du 11 août 1999 sur l’asile relative à la procédure (OA 1, RS 142.311) n’étant réalisée, en l’absence notamment d’un droit du recourant à une autorisation de séjour ou d’établissement.</w:t>
      </w:r>
    </w:p>
    <w:p>
      <w:r>
        <w:rPr>
          <w:b/>
        </w:rPr>
        <w:t>E. 7.10</w:t>
      </w:r>
    </w:p>
    <w:p>
      <w:r>
        <w:t>; 2011/50 consid. 8.1 à 8.3).</w:t>
      </w:r>
    </w:p>
    <w:p>
      <w:r>
        <w:rPr>
          <w:b/>
        </w:rPr>
        <w:t>E. 8.1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8.2</w:t>
      </w:r>
    </w:p>
    <w:p>
      <w:r>
        <w:t>En matière d'asile, le requérant se prévalant d'obstacles à l'exécution du renvoi doit les établir ou, à tout le moins, les rendre hautement probables selon les critères exposés au considérant 3 ci-dessus (applicables par analogie) lorsque la preuve au sens strict n'est pas</w:t>
      </w:r>
    </w:p>
    <w:p>
      <w:r>
        <w:t>D-690/2019 Page 16 raisonnablement exigible au regard de l'ensemble des circonstances du cas d'espèce (cf. ATAF 2011/24 consid. 10.2 et réf. citée).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9.2</w:t>
      </w:r>
    </w:p>
    <w:p>
      <w:r>
        <w:t>En l’occurrence, l'exécution du renvoi de A._______ en Iran ne contrevient pas au principe de non-refoulement de l'art. 5 LAsi, le prénommé n’ayant, comme exposé plus haut, pas démontré que,</w:t>
      </w:r>
    </w:p>
    <w:p>
      <w:r>
        <w:t>D-690/2019 Page 17 en cas de retour dans son pays, il y risquerait des préjudices déterminants pour la reconnaissance de la qualité de réfugié selon l'art. 3 LAsi. Plus globalement, le recourant n’a pas apporté suffisamment d’indices concrets laissant supposer qu’il pourrait courir un risque réel, fondé sur des motifs sérieux et avérés, d'être victime de torture ou encore d'un traitement inhumain ou dégradant en cas de renvoi dans son pays (art. 3 CEDH et art. 3 Conv. Torture). L’on soulignera plus particulièrement à ce propos qu’en dépit de ses déclarations initiales faites en audition sur ses données personnelles (cf. pv d’audition du 15.11.2015, p. 5, ch. 4.04 : « …Auch versuche Ich meine Gefängnis-, Polizei- und Gerichtsunterlagen irgendwie zu bekommen »), A._______ n’a, jusqu’à présent, livré aucun moyen de preuve en mesure de corroborer ses deux condamnations pénales alléguées et son obligation d’effectuer son service militaire invoquées à l’appui de sa demande de protection (voir à ce propos, le pv d’audition du 6.7.2017, p. 23, rép. à la quest. no 150 : « Lors de votre audition au CEP, vous avez également mentionné des documents de la police et des organes judiciaires. Qu’avez-vous fait comme démarches pour obtenir de tels documents ? Il s’agit surtout de deux convocations d’un juge qui sont arrivées à la maison. Malheureusement, ils n’ont pas pu les trouver, ils croient que cela s’est perdu.»). En outre, l’autorité inférieure a souligné, à juste titre, non seulement les éléments d’invraisemblance de la narration par l’intéressé sur la tentative de l’Etelaat de le recruter au début du mois de (…), mais aussi le caractère tardif et donc peu crédible de ses déclarations relatives aux mauvais traitements qu’il aurait endurés durant ses périodes de détention alléguées (cf. let. B et E supra). Au surplus, il est permis de nourrir certains doutes sur la conversion alléguée de A._______ au zoroastrisme, compte tenu, d’une part, de son ignorance du nom du politicien (Esfandiar Ethktiari) réélu en mars 2016 à l’unique siège du parlement iranien réservé aux membres de la communauté zoroastrienne, et de son incapacité, d’autre part, à donner une quelconque indication sur les dénommés Farshid Akhtari et Koorush Azargoshaasbi, candidats malheureux à cette même élection parlementaire de mars 2016, également de confession zoroastrienne (cf. pv du 6.7.2017, p. 22, rép. aux quest. nos 150 s. : « Est-ce que les noms de Farshid Akhtari et Koorush Azargobshaabi vous disent quelque chose ? Non, cela ne me dit rien. Je sais qu’on avait un roi qui s’appelait</w:t>
      </w:r>
    </w:p>
    <w:p>
      <w:r>
        <w:t>D-690/2019 Page 18 Gashtaseb. – Comment s’appelle le seul parlementaire de confession zoroastrienne qui siège actuellement en Iran et qui a été réélu en mars 2016 ? Je ne connais pas. »). En conclusion, l’exécution du renvoi de l’intéressé sous forme de refoulement ne transgresse aucun engagement de la Suisse relevant du droit international, de sorte qu’elle s’avère licite (art. 44 LAsi et 83 al. 3 LEI).</w:t>
      </w:r>
    </w:p>
    <w:p>
      <w:r>
        <w:rPr>
          <w:b/>
        </w:rPr>
        <w:t>E. 10.1</w:t>
      </w:r>
    </w:p>
    <w:p>
      <w:r>
        <w:t>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w:t>
      </w:r>
    </w:p>
    <w:p>
      <w:r>
        <w:rPr>
          <w:b/>
        </w:rPr>
        <w:t>E. 10.2</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11.1</w:t>
      </w:r>
    </w:p>
    <w:p>
      <w:r>
        <w:t>Malgré d’importantes tensions régnant dans ce pays depuis la mi- septembre 2022 en raison des divers mouvements de protestations contre le régime, l’Iran ne connaît pas une situation de guerre, de guerre civile ou de violence généralisée sur l'ensemble de son territoire qui permettrait</w:t>
      </w:r>
    </w:p>
    <w:p>
      <w:r>
        <w:t>D-690/2019 Page 19 d'emblée – et indépendamment des circonstances du cas sous revue – de présumer, à propos de tous les requérants provenant de cet Etat, l'existence d'une mise en danger concrète au sens de l'art. 83 al. 4 LEI.</w:t>
      </w:r>
    </w:p>
    <w:p>
      <w:r>
        <w:rPr>
          <w:b/>
        </w:rPr>
        <w:t>E. 11.2</w:t>
      </w:r>
    </w:p>
    <w:p>
      <w:r>
        <w:t>Pour le reste, le Tribunal fait sienne l’argumentation retenue par le SEM pour conclure à l’absence de facteurs afférents à la situation individuelle de l’intéressé susceptibles de rendre inexigible son retour en Iran (cf. let. B supra et prononcé entrepris, consid. III, ch. 2, p. 6), de sorte que l’exécution du renvoi de A._______ ne l’expose pas à un danger concret au sens de l'art. 83 al. 4 LEI et doit ainsi être considérée comme raisonnablement exigible.</w:t>
      </w:r>
    </w:p>
    <w:p>
      <w:r>
        <w:rPr>
          <w:b/>
        </w:rPr>
        <w:t>E. 12</w:t>
      </w:r>
    </w:p>
    <w:p>
      <w:r>
        <w:t>Enfin, le prénommé est en mesure d'entreprendre auprès des autorités iraniennes et/ou suisses compétentes les démarches idoines pour obtenir les documents officiels iraniens lui permettant de retourner dans son pays d’origine. L’exécution de son renvoi ne se heurte en conséquence pas à des obstacles insurmontables d'ordre technique et s'avère donc possible (art. 83 al. 2 LEI et ATAF 2008/34 consid. 12).</w:t>
      </w:r>
    </w:p>
    <w:p>
      <w:r>
        <w:rPr>
          <w:b/>
        </w:rPr>
        <w:t>E. 13</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14</w:t>
      </w:r>
    </w:p>
    <w:p>
      <w:r>
        <w:t>Vu ce qui précède, le recours doit aussi être rejeté, en ce qu’il est dirigé contre le renvoi de l’intéressé et l’exécution de cette mesure. La décision querellée est dès lors également confirmée sur ces deux points.</w:t>
      </w:r>
    </w:p>
    <w:p>
      <w:r>
        <w:rPr>
          <w:b/>
        </w:rPr>
        <w:t>E. 15</w:t>
      </w:r>
    </w:p>
    <w:p>
      <w:r>
        <w:t>Dans la mesure où A._______ a intégralement été débouté, les frais judiciaires devraient être mis à sa charge, conformément à l'art. 63 al. 1 PA. Il est toutefois ici renoncé à leur perception, dès lors que le présent recours n’apparaissait pas d’emblée dénué de chance de succès, que l’indigence de l’intéressé apparaît vraisemblable (cf. attestation officielle d’assistance du 9 août 2019) et qu’il y a donc lieu d’admettre la demande d’assistance judiciaire partielle du 8 février 2019 (art. 65 al. 1 PA). (dispositif : page suivante)</w:t>
      </w:r>
    </w:p>
    <w:p>
      <w:r>
        <w:t>D-690/2019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