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D-6906/2019 vom 27. Mai 2020</w:t>
      </w:r>
    </w:p>
    <w:p>
      <w:r>
        <w:t>Bundesverwaltungsgericht, 2020-05-27, DE</w:t>
      </w:r>
    </w:p>
    <w:p>
      <w:r>
        <w:rPr>
          <w:b/>
        </w:rPr>
        <w:t xml:space="preserve">Quelle: </w:t>
      </w:r>
      <w:r>
        <w:t>https://mcp.opencaselaw.ch/entscheid/bvger_D-6906_2019</w:t>
      </w:r>
    </w:p>
    <w:p>
      <w:r>
        <w:t>FR: TAF D-6906/2019 du 27 mai 2020</w:t>
      </w:r>
    </w:p>
    <w:p>
      <w:r>
        <w:t>IT: TAF D-6906/2019 del 27 maggio 2020</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werden formelle Rügen erhoben. Diese sind vorab zu beurteilen, da sie allenfalls geeignet wären, eine Kassation der vorin- stanzlichen Verfügung zu bewirken.</w:t>
      </w:r>
    </w:p>
    <w:p>
      <w:r>
        <w:rPr>
          <w:b/>
        </w:rPr>
        <w:t>E. 5.2</w:t>
      </w:r>
    </w:p>
    <w:p>
      <w:r>
        <w:t>In der Beschwerdeschrift wird ausgeführt, das SEM habe den Anspruch auf rechtliches Gehör, insbesondere die Begründungspflicht verletzt und den Sachverhalt unvollständig und unrichtig abgeklärt.</w:t>
      </w:r>
    </w:p>
    <w:p>
      <w:r>
        <w:rPr>
          <w:b/>
        </w:rPr>
        <w:t>E. 5.3</w:t>
      </w:r>
    </w:p>
    <w:p>
      <w:r>
        <w:t>Vorliegend ist weder auf eine Verletzung des rechtlichen Gehörs respektive der Begründungspflicht (vgl. BVGE 2015/10 E. 3.3, BVGE 2016/9 E. 5.1) noch auf eine unrichtige oder unvollständige Sachverhaltsfeststellung (vgl. BVGE 2016/2 E. 4.3) zu schliessen. In Bezug auf die Begründungspflicht gilt es anzumerken, dass das SEM in seiner Verfügung hinreichend darlegt, wieso es das Mehrfachgesuch für unzureichend begründet und den Wegweisungsvollzug für zulässig, zumutbar und möglich erachtet. Es stellt keine Verletzung des rechtlichen Gehörs dar, dass das SEM die Verschlechterung des Gesundheitszustandes nur unter dem Aspekt des Wegweisungsvollzugs geprüft hat, zumal eine Verschlechterung der bereits früher bestandenen und bereits beurteilten psychischen Leiden zum Vornherein nicht geeignet sein kann, ein Folgegesuch zu begründen. Somit geht auch der in diesem Zusammenhang erhobene Vorwurf, das SEM verhalte sich willkürlich, an der Sache vorbei. Schliesslich wurde der Sachverhalt vom SEM auch vollständig und richtig abgeklärt.</w:t>
      </w:r>
    </w:p>
    <w:p>
      <w:r>
        <w:rPr>
          <w:b/>
        </w:rPr>
        <w:t>E. 6</w:t>
      </w:r>
    </w:p>
    <w:p>
      <w:r>
        <w:t>Der Antrag, wonach abzuklären sei, ob bei der Entführung einer schweizerischen Botschaftsmitarbeiterin am 25. November 2019 Daten des Beschwerdeführers respektive welche Daten im Allgemeinen erpresst worden seien, ist abzuweisen, zumal eine Verbindung des Beschwerdeführers zu dieser Botschaftsmitarbeiterin nicht substanziiert dargelegt wird.</w:t>
      </w:r>
    </w:p>
    <w:p>
      <w:r>
        <w:rPr>
          <w:b/>
        </w:rPr>
        <w:t>E. 7.1</w:t>
      </w:r>
    </w:p>
    <w:p>
      <w:r>
        <w:t>In seiner Verfügung erwog das SEM, dass die Ernennung des neuen Armeechefs und die in diesem Zusammenhang behaupteten erweiterten Machtkompetenzen des Militärs und der Sicherheitsbehörden in keinem Zusammenhang zur Person des Beschwerdeführers stünden. Die Wahl von Gotabaya Rajapaksa zum Präsidenten führe ebenfalls nicht zur Annahme, dass ganze Volksgruppen kollektiv verfolgt würden. Vielmehr sei ein persönlicher Bezug zu diesem Ereignis erforderlich, was vorliegend aber nicht geltend gemacht werde. Auf diesen Teil des Mehrfachgesuchs sei daher mangels hinreichender Begründung nicht einzutreten. Die politische Betätigung der Tochter habe sich vor dem Urteil des Bundesverwaltungsgericht D-7504/2016 vom 17. Juli 2019 ereignet und sei dem Beschwerdeführer bekannt gewesen. Es handle sich somit um einen Sachverhalt, welcher revisionsweise beim Bundesverwaltungsgericht vorzutragen wäre, weshalb mangels funktioneller Zuständigkeit auf diesen Teil des Mehrfachgesuchs nicht einzutreten sei.</w:t>
      </w:r>
    </w:p>
    <w:p>
      <w:r>
        <w:rPr>
          <w:b/>
        </w:rPr>
        <w:t>E. 7.2</w:t>
      </w:r>
    </w:p>
    <w:p>
      <w:r>
        <w:t>In der Beschwerdeschrift wird eingewendet, das SEM verkenne, dass die politische Tätigkeit der Tochter etliche Folgen gehabt habe. Jüngst, im (...) 2019 und somit nach dem Urteil des Bundesverwaltungsgerichts, sei das Haus der Familie von Unbekannten aufgesucht, die Eltern bedroht und Sachbeschädigung begangen worden. Ferner hätten die neusten Entwicklungen, welche im Mehrfachgesuch ausführlich dargelegt und dokumentiert worden seien, zu einer markanten Erhöhung der Gefährdungslage für zurückkehrende abgewiesene Asylgesuchsteller geführt und würden folglich einen objektiven Nachfluchtgrund darstellen. Der Beschwerdeführer sei wegen seines Profils vor dem Hintergrund der veränderten Lage asylrelevant gefährdet.</w:t>
      </w:r>
    </w:p>
    <w:p>
      <w:r>
        <w:rPr>
          <w:b/>
        </w:rPr>
        <w:t>E. 8.1</w:t>
      </w:r>
    </w:p>
    <w:p>
      <w:r>
        <w:t>Das SEM erwog zu Recht, dass es sich bei der politischen Tätigkeit der Tochter grundsätzlich um eine dem Beschwerdeführer bekannte und vor dem Urteil des Bundesverwaltungsgerichts D-7504/2016 vom 17. Juli 2019 bereits bestandene Tatsache handelt, welche revisionsweise vorzutragen wäre. Hinsichtlich der behaupteten Sachverhaltselemente, welche sich nach dem Urteilszeitpunkt ereignet hätten, ist festzustellen, dass diese - ungeachtet der Frage, ob das SEM diese überhaupt hätte prüfen müssen - offenkundig nicht geeignet sind, eine Gefährdung des Beschwerdeführers zu begründen, zumal die Asylgründe der Tochter mit Urteil des Bundesverwaltungsgerichts D-4458/2019 vom 8. Oktober 2019 - wie im Übrigen auch die Asylgründe der Ehefrau des Beschwerdeführers (vgl. Urteil des BVGer D-4454/2019 vom 8. Oktober 2019) - für unglaubhaft befunden wurden. Folglich lässt sich aus diesen Gründen auch keine Gefährdung für den Beschwerdeführer ableiten. Aus der Geltendmachung einer rechtskräftig für unglaubhaft befundenen Verfolgung einer Drittperson lässt sich per se keine eigene (Reflex-)Verfolgung ableiten, weshalb darin auch keine hinreichende Begründung für ein Mehrfachgesuch gesehen werden kann, zumal sie im Kern nichts Anderes als eine appellatorische Kritik an einem rechtskräftigen Entscheid darstellt. Auch unter diesem Blickwinkel erweist sich der Nichteintretensentscheid des SEM folglich als rechtmässig.</w:t>
      </w:r>
    </w:p>
    <w:p>
      <w:r>
        <w:rPr>
          <w:b/>
        </w:rPr>
        <w:t>E. 8.2</w:t>
      </w:r>
    </w:p>
    <w:p>
      <w:r>
        <w:t>Das Beschwerdevorbringen, wonach im Mehrfachgesuch ein persönlicher Fallbezug zur aktuellen Lage in Sri Lanka dargelegt worden sei, weshalb das Gesuch nicht als unbegründet gelten dürfe, ist als nicht stichhaltig zu erachten. So wiederholte der Beschwerdeführer lediglich in geraffter Form bereits bekannte Sachverhaltselemente, die bereits im ordentlichen Asylverfahren als nicht glaubhaft respektive nicht asylrelevant erachtet worden sind. Daraus zieht er am Ende kurzerhand und ohne weitere Subsumption den Schluss, er sei aufgrund seines Profils gleich mehreren Risikogruppen zuzuordnen, obwohl mit den Urteilen des Bundesverwaltungsgerichts D-4209/2011 vom 31. Juli 2012 und D-7504/2016 vom 17. Juli 2019 rechtskräftig festgestellt wurde, dass er keiner asylrelevanten Gefährdung ausgesetzt sei. Demnach hat das SEM in zutreffender Weise das Erfordernis einer ausreichenden Begründung im Sinne von Art. 111c Abs. 1 AsylG als nicht erfüllt erachtet und ist zu Recht in Anwendung von Art. 13 Abs. 2 VwVG in diesem Punkt auf das Gesuch nicht eingetreten (vgl. zum Nichteintretensgrund der mangelhaften Begründung BVGE 2014/39 E. 7).</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AlG - die vorläufige Aufnahme zu gewähren. Der Vollzug ist schliesslich nicht möglich, wenn die Ausländerin oder der Ausländer weder in den Heimat- oder in den Herkunftsstaat noch in einen Drittstaat ausreisen oder dorthin gebracht werden kann (Art. 83 Abs. 2 AlG).</w:t>
      </w:r>
    </w:p>
    <w:p>
      <w:r>
        <w:rPr>
          <w:b/>
        </w:rPr>
        <w:t>E. 10.2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jüngsten politischen Entwicklungen in Sri Lanka sowie des Vorbringens auf Beschwerdeebene, es sei dem Umstand Rechnung zu tragen, dass nach Entführung einer Angestellten der schweizerischen Botschaft in Sri Lanka am 25. November 2019 zwischen der sri-lankischen und der schweizerischen Regierung eine diplomatische Krise ausgebrochen sei. Es besteht keinerlei Grund zur Annahme, die allgemeinen politischen Entwicklungen in Sri Lanka könnten sich zum heutigen Zeitpunkt auf den Beschwerdeführer auswirken. Dies gilt auch im Hinblick auf die erwähnten diplomatischen Unstimmigkeiten. Der Vollzug der Wegweisung ist folglich zulässig.</w:t>
      </w:r>
    </w:p>
    <w:p>
      <w:r>
        <w:rPr>
          <w:b/>
        </w:rPr>
        <w:t>E. 10.4</w:t>
      </w:r>
    </w:p>
    <w:p>
      <w:r>
        <w:t>Mit Urteil des Bundesverwaltungsgerichts D-7504/2016 vom 17. Juli 2019 wurde der Vollzug der Wegweisung letztmals - unter expliziter Bezugnahme auf bereits damals vorhandene psychische Leiden - für zumutbar befunden. Eine Verschlechterung des Gesundheitszustands, welche an dieser Einschätzung etwas zu ändern vermöchte, ist nicht ersichtlich. Auch die aktuellen Ereignisse in Sri Lanka vermögen keine Unzumutbarkeit des Wegweisungsvollzugs zu begründen. Andere Gründe, welche gegen die Zumutbarkeit sprechen würden, wurden weder substanziiert geltend gemacht noch sind sie aus den Akten ersichtlich.</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jedoch mit Zwischenverfügung vom 28. Januar 2020 die unentgeltliche Prozessführung gewährt wurde,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