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D-6896/2014 vom 14. Januar 2015</w:t>
      </w:r>
    </w:p>
    <w:p>
      <w:r>
        <w:t>Bundesverwaltungsgericht, 2015-01-14, DE</w:t>
      </w:r>
    </w:p>
    <w:p>
      <w:r>
        <w:rPr>
          <w:b/>
        </w:rPr>
        <w:t xml:space="preserve">Quelle: </w:t>
      </w:r>
      <w:r>
        <w:t>https://mcp.opencaselaw.ch/entscheid/bvger_D-6896_2014</w:t>
      </w:r>
    </w:p>
    <w:p>
      <w:r>
        <w:t>FR: TAF D-6896/2014 du 14 janvier 2015</w:t>
      </w:r>
    </w:p>
    <w:p>
      <w:r>
        <w:t>IT: TAF D-6896/2014 del 14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Bundesamt kann ein im Ausland gestelltes Asylgesuch ablehnen, wenn die asylsuchende Person keine Verfolgung glaubhaft machen kann oder ihr die Aufnahme in einem Drittstaat zugemutet werden kann (Art. 3 und Art. 7 AsylG sowie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5.2.2</w:t>
      </w:r>
    </w:p>
    <w:p>
      <w:r>
        <w:t>Die Beschwerdeführerin legte im schriftlich eingereichten Asylgesuch vom 29. März 2012 ihre Vorbringen ein erstes Mal dar (vgl. Sachverhalt Bst. A). Alsdann wurde sie mit Verfügung vom 3. November 2013 unter Beilage eines explizit aufgelisteten Fragenkatalogs gebeten, für die vollständige Erstellung des rechtserheblichen Sachverhalts die entsprechenden Fragen vollständig und präzise zu beantworten, wozu sie denn auch schriftlich Stellung nahm (vgl. Sachverhalt Bst. B). Ferner wurde sie am 8. Juli 2014 von der schweizerischen Botschaft in Addis Abeba unter anderem zu den Gründen befragt, die sie zum Verlassen des Heimatlandes bewogen haben (vgl. Sachverhalt Bst. C). Mithin erscheint der Sachverhalt als erstellt respektive die entscheidrelevanten Elemente liegen vor.</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Die Beschwerdeführerin führte im Rahmen der Beantwortung des ihr mit Verfügung vom 9. November 2012 zugestellten Fragenkatalogs und anlässlich der Botschaftsbefragung vom 8. Juli 2014 aus, Eritrea zu Fuss und ohne Erlaubnis verlassen zu haben (A 10 S. 2; A 16 S. 5). Es ist somit davon auszugehen, dass sie illegal aus ihrem Heimatland ausgereist ist und dadurch einen subjektiven Nachfluchtgrund gesetzt hat, was in der Schweiz praxisgemäss dazu führt, dass sie als Flüchtling anerkannt würde. Indes würde ihr das Asyl verweigert und sie würde aus der Schweiz weggewiesen. Da sie jedoch als gefährdet gelten würde, wäre der Vollzug der Wegweisung unzulässig und sie würde deshalb im Sinne einer Ersatzmassnahme vorläufig aufgenommen. Gemäss Rechtsprechung schliesst das Bestehen der Flüchtlingseigenschaft allein aufgrund von subjektiven Nachfluchtgründen aber die Bewilligung zur Einreise in einem Auslandverfahren von vornherein aus. Demzufolge kommt der Frage massgebliches Gewicht zu, ob die Person, die aus einem Drittstaat ein Asylgesuch stellt, bereits im Zeitpunkt der Ausreise eine asylrechtlich relevante Gefährdung zu gewärtigen hatte (vgl. zum Ganzen BVGE 2012/26 E. 7 S. 519 f.).</w:t>
      </w:r>
    </w:p>
    <w:p>
      <w:r>
        <w:rPr>
          <w:b/>
        </w:rPr>
        <w:t>E. 6.2</w:t>
      </w:r>
    </w:p>
    <w:p>
      <w:r>
        <w:t>Es ist daher zu prüfen, ob die Beschwerdeführerin im Zeitpunkt der Ausreise aus Eritrea einer Gefährdung im Sinne von Art. 3 AsylG ausgesetzt war.</w:t>
      </w:r>
    </w:p>
    <w:p>
      <w:r>
        <w:rPr>
          <w:b/>
        </w:rPr>
        <w:t>E. 6.2.1</w:t>
      </w:r>
    </w:p>
    <w:p>
      <w:r>
        <w:t>Die Vorinstanz hielt in der angefochtenen Verfügung fest, dass hinsichtlich der Beschwerdeführerin keine Hinweise für das Bestehen einer Gefährdungssituation im Sinne von Art. 3 AsylG im Zeitpunkt ihrer Ausreise aus Eritrea vorliegen würden. Das Bundesverwaltungsgericht schliesst sich nach Überprüfung der Akten den vom BFM - auch ohne expliziten Hinweis auf die oben zitierte Rechtsprechung - gezogenen Schlussfolgerungen an.</w:t>
      </w:r>
    </w:p>
    <w:p>
      <w:r>
        <w:rPr>
          <w:b/>
        </w:rPr>
        <w:t>E. 6.2.2</w:t>
      </w:r>
    </w:p>
    <w:p>
      <w:r>
        <w:t>Die Beschwerdeführerin führt in Bezug auf Eritrea aus, das Land aufgrund ihres Glaubens, ihrer halbäthiopischen Herkunft und den daraus resultierenden Diskriminierungen und Schwierigkeiten verlassen zu haben. Nähere Hinweise oder Aufschlüsse respektive umfassende und detaillierte Schilderung, wonach sie in Eritrea ernsthaften Nachteilen im Sinne von Art. 3 AsylG ausgesetzt gewesen sei, unterbleiben. Insbesondere ist festzuhalten, dass die Beschwerdeführerin gemäss ihren Angaben in der einmonatigen Haft im Militärgefängnis im Jahre 2007 keine nennenswerten Nachteilen ausgesetzt war (es sei nichts passiert) und nach der Entlassung bis zur Ausreise anfangs Juli 2011 an diversen Orten in Eritrea lebte, was den fehlenden zeitlichen und sachlichen Kausalzusammenhang zwischen dem erwähnten Vorfall und der Flucht aufzuzeigen vermag, mithin zum Ausdruck bringt, dass ihr ein menschenwürdiges Leben in Eritrea nicht unzumutbar erschwert oder gar verunmöglicht worden wäre. Vor diesem Hintergrund ist folglich anzumerken, dass im Falle der Beschwerdeführerin konkrete Anhaltspunkte dafür fehlen, die irgendwelche Schlüsse auf eine Gefährdung asylrelevanten Ausmasses zuliessen. Jedenfalls kann aufgrund ihrer Ausführungen in den diversen Verfahrensabschnitten, inklusive der Beschwerde, keine asylrelevante Bedrohungs- oder Verfolgungssituation der Beschwerdeführerin im Zeitpunkt der Ausreise aus dem Heimatland angenommen werden. Zum Vorbringen in der Rechtsmitteleingabe (zweiter Gefängnisaufenthalt zusammen mit der Familie aufgrund der Flucht ihres Bruders nach Äthiopien; Freikauf von der Inhaftierung mittels Geldzahlungen) ist bloss festzuhalten, dass ein solcher Sachverhaltsumstand während des erstinstanzlichen Verfahrens nicht geltend gemacht wurde und daher als nachgeschobenes Argument zu qualifizieren ist, woraus die Beschwerdeführerin nichts zu ihren Gunsten abzuleiten vermag. Unter diesem Blickwinkel betrachtet kommt den in diesem Zusammenhang eingereichten Beweismitteln (vgl. Sachverhalt Bst. F) beweisrechtlich keine Bedeutung zu. Auch wäre ihnen nicht zuletzt aufgrund ihrer Beschaffenheit (Kopien), da leicht manipulierbar, die Beweiskraft abzusprechen. Indes ist davon auszugehen, dass die Beschwerdeführerin Eritrea illegal verlassen hat. Wie unter Erwägung 6.1 bereits festgehalten, ist die Einreise der Beschwerdeführerin trotz allfälligen Bestehens der Flüchtlingseigenschaft und Beziehungsnähe zur Schweiz aber nicht zu bewilligen, da sie aufgrund subjektiver Nachfluchtgründe vom Asyl auszuschliessen ist (vgl. zu subjektiven Nachfluchtgründen sowie zur Anwendung auf Eritrea das Urteil des Bundesverwaltungsgerichts D-3892/2008 vom 6. April 2010 E. 5.3). Angesichts dieser Sachlage erübrigen sich weitere Erörterungen.</w:t>
      </w:r>
    </w:p>
    <w:p>
      <w:r>
        <w:rPr>
          <w:b/>
        </w:rPr>
        <w:t>E. 7</w:t>
      </w:r>
    </w:p>
    <w:p>
      <w:r>
        <w:t>Aus diesen Erwägungen ergibt sich, dass die angefochtene Verfügung Bundesrecht nicht verletzt sowie den rechtserheblichen Sachverhalt richtig und vollständig feststellt (Art. 106 Abs. 1 AsylG). Das BFM hat das Asylgesuch und das Gesuch um Einreise in die Schweiz zu Recht abgelehnt. Die Beschwerde ist nach dem Gesagten abzuweisen.</w:t>
      </w:r>
    </w:p>
    <w:p>
      <w:r>
        <w:rPr>
          <w:b/>
        </w:rPr>
        <w:t>E. 8</w:t>
      </w:r>
    </w:p>
    <w:p>
      <w:r>
        <w:t>Bei diesem Ausgang des Verfahrens wären die Kosten grundsätzlich der Beschwerdeführerin aufzuerlegen (Art. 63 Abs. 1 VwVG). Aus verwal­tungsökonomischen Gründen sowie in Anwendung von Art. 63 Abs. 1 letzter Satz VwVG und Art. 2 und 6 Bst. b des Reglements vom 21. Februar 2008 über die Kosten und Entschädigungen vor dem Bundesverwaltungsgericht (VGKE, SR 173.320.2) ist vorliegend jedoch auf die Erhebung von Verfahrenskosten zu verzichten. Das sinngemässe Gesuch um unentgeltliche Rechtspflege im Sinne von Art. 65 Abs. 1 VwVG respektive das Gesuch um Ratenzahlung ist somit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