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D-6893/2013 vom 29. April 2014</w:t>
      </w:r>
    </w:p>
    <w:p>
      <w:r>
        <w:t>Bundesverwaltungsgericht, 2014-04-29, IT</w:t>
      </w:r>
    </w:p>
    <w:p>
      <w:r>
        <w:rPr>
          <w:b/>
        </w:rPr>
        <w:t xml:space="preserve">Quelle: </w:t>
      </w:r>
      <w:r>
        <w:t>https://mcp.opencaselaw.ch/entscheid/bvger_D-6893_2013</w:t>
      </w:r>
    </w:p>
    <w:p>
      <w:r>
        <w:t>FR: TAF D-6893/2013 du 29 avril 2014</w:t>
      </w:r>
    </w:p>
    <w:p>
      <w:r>
        <w:t>IT: TAF D-6893/2013 del 29 aprile 2014</w:t>
      </w:r>
    </w:p>
    <w:p>
      <w:pPr>
        <w:pStyle w:val="Heading2"/>
      </w:pPr>
      <w:r>
        <w:t>Regeste</w:t>
      </w:r>
    </w:p>
    <w:p>
      <w:r>
        <w:t>Domanda d'asilo presentata all'estero e autorizzazione d'entrata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