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D-6888/2019 vom 17. Januar 2020</w:t>
      </w:r>
    </w:p>
    <w:p>
      <w:r>
        <w:t>Bundesverwaltungsgericht, 2020-01-17, DE</w:t>
      </w:r>
    </w:p>
    <w:p>
      <w:r>
        <w:rPr>
          <w:b/>
        </w:rPr>
        <w:t xml:space="preserve">Quelle: </w:t>
      </w:r>
      <w:r>
        <w:t>https://mcp.opencaselaw.ch/entscheid/bvger_D-6888_2019</w:t>
      </w:r>
    </w:p>
    <w:p>
      <w:r>
        <w:t>FR: TAF D-6888/2019 du 17 janvier 2020</w:t>
      </w:r>
    </w:p>
    <w:p>
      <w:r>
        <w:t>IT: TAF D-6888/2019 del 17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damit, die Beschwerdeführerin mache geltend, ihre Tochter sei gegen ihren Willen beschnitten worden. Gemäss der schweizerischen Asylpraxis würden nur Personen, die befürchten, beschnitten zu werden, eine bestimmte soziale Gruppe bilden, aber nicht Personen, die bereits beschnitten worden seien. Dieses Vorbringen sei daher asylrechtlich nicht relevant. Zwar sei in der Stellungnahme ausgeführt worden, es bestehe in diesem Zusammenhang eine Furcht vor zukünftiger Verfolgung. Dies sei allerdings während der Anhörung mit keinem Wort erwähnt worden. So habe die Beschwerdeführerin bei der Anhörung auch mit keinem Wort erwähnt, dass sie selber beschnitten sei. Es sei daher offensichtlich, dass im Nachhinein ein asylrelevantes Motiv kreiert werden sollte. Ferner sei festzuhalten, dass dem SEM bis zur Stellungnahme nicht bekannt war, dass mit der Beschwerdeführerin am 17. Dezember 2019 ein Gespräch durchgeführt worden sei. Die von der Beschwerdeführerin geltend gemachte Vergewaltigung - sofern sich diese überhaupt wie dargelegt zugetragen habe - stehe sodann nicht in kausalem Zusammenhang zu ihrer Ausreise, sei sie doch nach dem Vorfall noch gut vier Jahre lang im Heimatland geblieben, ohne dass sie ernsthafte Nachteile aufgrund der Vergewaltigung erlitten habe. Ihre Familie habe sie nicht verstossen, sondern sich um sie gekümmert. Die neugierigen Fragen von Nachbarn und bösen Bemerkungen sowie die Abwendung von Freundinnen seien nicht intensiv genug, dass von einem unerträglichen psychischen Druck ausgegangen werden müsste. Somit sei auch dieses Vorbringen asylrechtlich nicht relevant. Die Beschwerdeführenden würden die Flüchtlingseigenschaft nicht erfüllen, weshalb ihre Asylgesuche abgewiesen würden.</w:t>
      </w:r>
    </w:p>
    <w:p>
      <w:r>
        <w:rPr>
          <w:b/>
        </w:rPr>
        <w:t>E. 4.2</w:t>
      </w:r>
    </w:p>
    <w:p>
      <w:r>
        <w:t>In ihrer Rechtsmitteleingabe hielten die Beschwerdeführenden dem im Wesentlichen entgegen, die Beschwerdeführerin habe eine Typ-III-Beschneidung erlitten, was mit dem Arztbericht vom 13. Dezember 2019 belegt sei. Nach den Geburten habe sie sich erfolgreich gegen ein erneutes Zunähen wehren können. Somit bestehe für sie die erhebliche Gefahr einer erneuten Infibulation. Dasselbe gelte für die Tochter der Beschwerdeführerin. Diese sei zwar bereits nach Typ I-II beschnitten worden. Bei einer Rückkehr bestehe für sie jedoch die Gefahr, dass Familienmitglieder sie nach Typ III beschneiden würden. Ferner bestehe für das ungeborene Kind der Beschwerdeführerin, sollte es ein Mädchen sein, ebenfalls die Gefahr der Beschneidung bei einer Rückkehr. Die Beschwerdeführenden hätten damit begründete Furcht vor einer geschlechtsspezifischen Verfolgung. Dies sei anlässlich der Stellungnahme bereits geltend gemacht worden, jedoch habe sich die Vorinstanz damit nicht ernsthaft auseinandergesetzt, sondern lediglich ausgeführt, dies sei anlässlich der Anhörung nicht vorgebracht worden und somit nachgeschoben. Indem sich das SEM somit nicht angemessen mit den Vorbringen der Beschwerdeführenden befasst habe, habe es den Anspruch auf rechtliches Gehör verletzt.</w:t>
      </w:r>
    </w:p>
    <w:p>
      <w:r>
        <w:rPr>
          <w:b/>
        </w:rPr>
        <w:t>E. 5.1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 St. Gallen 2010, S. 375 f.; Patrick Krauskopf/Katrin Emmenegger, in: Bernhard Waldmann/Philippe Weissenberger [Hrsg.], Praxiskommentar VwVG, Zürich/ Basel/Genf 2009, Art. 12, N 15 ff.). Ferner haben die Parteien Anspruch auf rechtliches Gehör (Art. 29 Abs. 2 BV, Art. 29 und Art. 32 Abs. 1 VwVG), wobei dies alle Befugnisse umfasst, die einer Partei einzuräumen sind, damit sie ihren Standpunkt wirksam zur Geltung bringen kann (vgl. BGE 135 II 286 E. 5.1; BVGE 2009/35 E. 6.4.1). Dazu gehört insbesondere das Recht der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w:t>
      </w:r>
    </w:p>
    <w:p>
      <w:r>
        <w:rPr>
          <w:b/>
        </w:rPr>
        <w:t>E. 5.2</w:t>
      </w:r>
    </w:p>
    <w:p>
      <w:r>
        <w:t>Vorliegend hält die Vorinstanz die Vorbringen der Beschwerdeführenden für nicht asylrelevant. Das SEM argumentiert sinngemäss, da die Beschwerdeführerinnen bereits beschnitten seien, könnten sie eine Beschneidung nicht mehr befürchten, weshalb sich daraus keine begründete Furcht ableiten lasse. Auf die in der Stellungnahme geltend gemachten Ausführungen betreffend Furcht vor einer erneuten Beschneidung beziehungsweise Reinfibulation wird in der Verfügung inhaltlich nicht eingegangen. Das SEM führt diesbezüglich lediglich an, da die Beschwerdeführerin bei der Anhörung ihre Beschneidung nicht erwähnt habe, sei offensichtlich, dass mit dem Vorbringen der möglichen Reinfibulation im Nachhinein ein asylrelevantes Motiv kreiert werden solle. Mit dieser Argumentation unterlässt es die Vorinstanz zu prüfen, ob die Vorbringen asylrelevant sind und verletzt damit den Anspruch auf rechtliches Gehör. Dass die Beschwerdeführerin ihre eigene Beschneidung anlässlich der Anhörung nicht erwähnte, kann - zumal sie darauf auch nicht angesprochen wurde - im Kontext von Somalia nicht dazu führen, dass ihr diese nicht geglaubt wird. Auf Beschwerdeebene wurde diese mit Einreichen des Arztberichtes vom 13. Dezember 2019 beziehungsweise dem Vermerk «Status nach FGM (Klitoridektomie)» sodann auch belegt. Auch die Form der Beschneidung der Tochter wurde auf Beschwerdeebene belegt (vgl. Arztbericht vom 17. Oktober 2019 «Status nach FGM Typ I-II»). Die Vorbringen in der Stellungnahme können somit nicht einfach als nachgeschoben und somit unglaubhaft abgetan werden. Auch das Verhalten der Vorinstanz, den Bericht von Simone Giger, Projektbeauftragte Prävention von Mädchenbeschneidungen, damit abzutun, sie sei nicht rechtzeitig über das Gespräch vom 17. Dezember 2019 informiert worden, erscheint stossend, zumal solche zeitlichen Engpässe gerade im beschleunigten Verfahren leicht entstehen können und die Zustellung des Entscheidentwurfs zur Stellungnahme gerade deshalb erfolgt. Da der Bericht dem SEM vor Ergehen der Verfügung vorgelegen hat, hätte es diesen berücksichtigen müssen. Die Vorinstanz hat es somit unterlassen, die Vorbringen der Beschwerdeführenden betreffend Furcht vor erneuter Beschneidung beziehungsweise Reinfibulation zu behandeln und in ihrer Verfügung zu begründen, weshalb sie diese für nicht asylrelevant hält. Somit hat sie die Begründungspflicht und damit den Anspruch auf rechtliches Gehör verletzt.</w:t>
      </w:r>
    </w:p>
    <w:p>
      <w:r>
        <w:rPr>
          <w:b/>
        </w:rPr>
        <w:t>E. 5.3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Verletzung der Begründungspflicht, welche einen schwerwiegenden Mangel darstellt, der eine vernünftige Prozesserledigung der Rechtsmittelinstanz verunmöglicht. Es liegt nicht am Bundesverwaltungsgericht, anstelle der Vorinstanz die entsprechenden Schlüsse aus dem Sachverhalt zu ziehen, und es ist auch nicht seine Aufgabe, Versäumnisse des SEM auf Beschwerdeebene systematisch zu beheben und damit die Vorinstanz gleichsam von einer sorgfältigen Verfahrensführung zu entbinden, zumal den Beschwerdeführenden durch ein solches Vorgehen eine Instanz verloren ginge. Somit fällt eine Heilung der festgestellten Mängel in der angefochtenen Verfügung nicht in Betracht (vgl. zum Ganzen BVGE 2009/53 E. 7.3). Eine Kassation der angefochtenen Verfügung rechtfertigt sich insbesondere auch unter Berücksichtigung der vorgesehenen Behandlungsfrist von zwanzig Tagen (vgl. Art. 109 Abs. 1 AsylG). Angesichts der Rückweisung der Sache erübrigt sich eine Auseinandersetzung mit den in reformatorischer Hinsicht gestellten Rechtsbegehren und den dem Gericht zu den Akten gereichten Beweismitteln. Das Beschwerdedossier wird nämlich ebenfalls Gegenstand des wiederaufzunehmenden erstinstanzlichen Verfahrens sein und das SEM wird sich damit zu befassen haben.</w:t>
      </w:r>
    </w:p>
    <w:p>
      <w:r>
        <w:rPr>
          <w:b/>
        </w:rPr>
        <w:t>E. 5.4</w:t>
      </w:r>
    </w:p>
    <w:p>
      <w:r>
        <w:t>Nach dem Gesagten ist die Beschwerde insofern gutzuheissen, als die vorinstanzliche Verfügung aufzuheben und zur erneuten Beurteilung im Sinne der Erwägungen an die Vorinstanz zurückzuweisen ist.</w:t>
      </w:r>
    </w:p>
    <w:p>
      <w:r>
        <w:rPr>
          <w:b/>
        </w:rPr>
        <w:t>E. 6</w:t>
      </w:r>
    </w:p>
    <w:p>
      <w:r>
        <w:t>Bei diesem Ausgang des Verfahrens sind keine Kosten zu erheben (Art. 63 Abs. 1 und 2 VwVG). Die Gesuche um Gewährung der unentgeltlichen Prozessführung und Verzicht auf die Erhebung eines Kostenvorschusses sind gegenstandslos geworden.</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1'500.- zuzusprechen. Das Gesuch um Beiordnung des Rechtsvertreters als amtlicher Rechtsbeistand ist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