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D-6887/2011 vom 17. Januar 2012</w:t>
      </w:r>
    </w:p>
    <w:p>
      <w:r>
        <w:t>Bundesverwaltungsgericht, 2012-01-17, DE</w:t>
      </w:r>
    </w:p>
    <w:p>
      <w:r>
        <w:rPr>
          <w:b/>
        </w:rPr>
        <w:t xml:space="preserve">Quelle: </w:t>
      </w:r>
      <w:r>
        <w:t>https://mcp.opencaselaw.ch/entscheid/bvger_D-6887_2011</w:t>
      </w:r>
    </w:p>
    <w:p>
      <w:r>
        <w:t>FR: TAF D-6887/2011 du 17 janvier 2012</w:t>
      </w:r>
    </w:p>
    <w:p>
      <w:r>
        <w:t>IT: TAF D-6887/2011 del 17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wird auf die Durchführung des Schriftenwechsels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seinen ablehnenden Entscheid im We-sentlichen folgendermassen: Zwar sei es im Kosovo in den vergangenen Jahren vereinzelt zu schwerwiegenden Übergriffen auf Angehörige der ethnischen Minderheiten, namentlich der Gorani, gekommen. Es könne jedoch nicht von allgemeinen Vertreibungen ausgegangen werden. Nach der Unabhängigkeitserklärung vom 17. Februar 2008 sei im Kosovo auch nach dem Statuswechsel eine internationale zivile und militärische Präsenz vorgesehen. Im Kosovo bestünden seitens der Interimsverwaltungsmission der Vereinten Nationen (UNMIK) sowie der Europäischen Union (EU) zwei internationale Missionen. Die Rechtsstaatlichkeitsmission der EU (EULEX), die internationalen Sicherheitskräfte sowie die kosovarische Polizei würden die Sicherheit garantieren und seien weitgehend in der Lage, die ethnischen Minderheiten im Kosovo zu schützen. Auch gestehe die neue kosovarische Verfassung den Minderheiten umfas-sende Rechte zu. Demnach sei vom Vorhandensein eines adäquaten Schutzes durch den Heimatstaat auszugehen, und die geltend ge-machten Übergriffe seien nicht asylrelevant. Daran ändere auch nichts, dass der Beschwerdeführer geltend mache, seine Anzeige sei durch die Polizei nicht entgegengenommen worden. Es sei davon auszugehen, dass er mit einer Intervention gegen die behauptete Untätigkeit den verlangten staatlichen Schutz erlangt hätte.</w:t>
      </w:r>
    </w:p>
    <w:p>
      <w:r>
        <w:rPr>
          <w:b/>
        </w:rPr>
        <w:t>E. 5.2</w:t>
      </w:r>
    </w:p>
    <w:p>
      <w:r>
        <w:t>In der Beschwerdeschrift wird dazu im Wesentlichen geltend gemacht, entgegen der Argumentation der Vorinstanz sei der Beschwerdeführer als Angehöriger der Minderheit der Gorani im Kosovo schutzlos. Der verfassungsmässige Schutz existiere nur auf dem Papier. Der Beschwerdeführer habe sich in C._______ an den dortigen ranghöchsten Polizisten gewandt, welcher ihm beschieden habe, er könne gegen die Familie eines UÇK-Kämpfers keine Anzeige machen. Auch die EULEX sei nicht in der Lage, ihm Schutz zu gewähren. Mittlerweile habe er übrigens erfahren, dass die Person, die ihm mit Blutrache drohe, als Förster arbeite, eine Axt besitze und irgendeinen Vorwand suche, um für den getöteten Bruder die Blutrache zu verüben. Über einen anderen Albaner, von dem er zusammengeschlagen worden sei, habe er ausserdem erfahren, dass jener zu einer kriminellen, wegen ihres Nationalismus berüchtigten Gruppe gehöre, welche mit der kosovarischen Polizei zusammenarbeite.</w:t>
      </w:r>
    </w:p>
    <w:p>
      <w:r>
        <w:rPr>
          <w:b/>
        </w:rPr>
        <w:t>E. 5.3</w:t>
      </w:r>
    </w:p>
    <w:p>
      <w:r>
        <w:t>Der Beschwerdeführer macht ausschliesslich Behelligungen und Drohungen seitens von Privatpersonen geltend. Nach den Erkenntnissen des Bundesverwaltungsgerichts gehen die zuständigen Behörden im Kosovo im Rahmen ihrer Möglichkeiten konsequent gegen Bedrohungen und Übergriffe durch Privatpersonen vor. Insofern ist sowohl vom Schutzwillen als auch von der weitgehenden Schutzfähigkeit der Sicherheitsbehörden im Kosovo auszugehen. Das Bundesverwaltungsgericht geht ausserdem davon aus, dass auch Angehörige ethnischer Minderheiten im Kosovo die Möglichkeit haben, sich an die Behörden zu wenden und diese um Schutz vor - auch ethnisch motivierten - Übergriffen Dritter zu ersuchen. Auch sind der generelle Schutzwille und die generelle Schutzfähigkeit der zu­ständigen Sicherheitskräfte bezüglich strafrechtlich relevanter Übergriffe auf Angehörige der ethnischen Minderheiten zu bejahen. Dies gilt auch für eine angebliche Bedrohung durch Blutrache (die im Übrigen angesichts offensichtlich fehlender Anhaltspunkte für eine Verantwortung des Beschwerdeführers oder eines seiner Familienmitglieder für den Tod der fraglichen, angeblich im Kosovo-Krieg umgekommenen Person auch in keiner Weise glaubhaft ist). Weiter gilt die Feststellung von Schutzwille und -fähigkeit auch für die angebliche Bedrohung durch eine kriminelle Gruppierung, die mit der kosovarischen Polizei in Verbindung stehen soll (wofür mangels jeglicher konkreter Angaben seitens des Beschwerdeführers ebenfalls keinerlei Anhaltspunkte bestehen). In Bezug auf die Angehörigen der Ethnie der Gorani im Kosovo ist ausserdem festzustellen, dass es sich dabei um eine gut integrierte Minderheit handelt, deren Situation unter dem Aspekt der Sicherheit weitgehend stabil ist.</w:t>
      </w:r>
    </w:p>
    <w:p>
      <w:r>
        <w:rPr>
          <w:b/>
        </w:rPr>
        <w:t>E. 5.4</w:t>
      </w:r>
    </w:p>
    <w:p>
      <w:r>
        <w:t>Aus dem Gesagten ergibt sich, dass das BFM zutreffenderweise zur Einschätzung gelangt ist, die Vorbringen des Beschwerdeführers seien nicht asylrelevant. Das Bundesamt hat folglich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BVGE 2009/50 E. 9 S. 733 m.w.N. sowie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in den Kosovo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Kosovo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im Kosovo bietet zum heutigen Zeitpunkt - dies unter Berücksichtigung seiner Zugehörigkeit zur Ethnie der Gorani - keinen konkreten Anlass zur Annahme, dem Beschwerdeführer drohe eine entsprechende Gefährdung. Insbesondere lässt sich auch aus der Tatsache an sich, dass Angehörige ethnischer Minderheiten im Kosovo in verschiedener Hinsicht Diskriminierungen - so auch von Seiten privater Dritter - ausgesetzt sind, kein ausreichend reales Risiko von Folter, unmenschlicher oder erniedrigender Strafe oder Behandlung ableiten.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BFM hielt diesbezüglich in der angefochtenen Verfügung fest, weder die im Heimatstaat herrschende politische Situation noch andere Gründe sprächen gegen die Zumutbarkeit der Rückführung in den Kosovo. Die Sicherheitslage habe sich in den vergangenen Jahren verbessert oder zumindest stabilisiert, und die Wahrscheinlichkeit einer konkreten Gefährdung für Gorani alleine aufgrund der Ethnie könne weitgehend ausgeschlossen werden. Zudem sei für diese Ethnien die Bewegungsfreiheit im Kosovo grundsätzlich gegeben. Auch der Zugang zu den medizinischen und sozialen Strukturen sei in aller Regel gewährleistet. Zudem gebe es auch keine individuellen Gründe, die gegen die Zumutbarkeit eines Wegweisungsvollzugs sprechen würden.</w:t>
      </w:r>
    </w:p>
    <w:p>
      <w:r>
        <w:rPr>
          <w:b/>
        </w:rPr>
        <w:t>E. 7.3.3</w:t>
      </w:r>
    </w:p>
    <w:p>
      <w:r>
        <w:t>Auch dieser Beurteilung der Vorinstanz ist beizupflichten. Dabei ist zunächst ergänzend festzuhalten, dass der Minderheit der Gorani, welcher der Beschwerdeführer angehört, im Vergleich zu den Angehörigen anderer Ethnien, insbesondere der Roma, Ashkali und "Ägypter" (vgl. BVGE 2007/10) sowie der Kosovo-Serben, seitens der ethnischen Albaner im Kosovo schon immer eine höhere Toleranz entgegengebracht wurde. Gemäss aktueller Rechtsprechung ist ein Wegweisungsvollzug der Gorani in sämtliche Gebiete des Kosovo - mit Ausnahme der Region von Mitrovica - als zumutbar zu erachten (vgl. das zur Publikation vorgesehene Urteil BVGE D-6827/2010 vom 2. Mai 2011 E. 8.6). Ferner ist in individueller Hinsicht festzustellen, dass der vierundzwanzig Jahre alte Beschwerdeführer soweit aktenkundig gesund ist und gemäss eigenen Angaben über eine Ausbildung als Autoelektriker und Arbeitserfahrung im Baugewerbe verfügt. Ferner führte er aus, seine Familie besitze in C._______ ein Haus, und er habe im Kosovo viele Familienangehörige, die an verschiedensten Orten, unter anderem in der Stadt Prizren, leben. Auch unter Berücksichtigung des Umstands, dass sich die Eltern und der Bruder des Beschwerdeführers zurzeit in Serbien (Belgrad) aufhalten sollen, ist somit davon auszugehen, dass er in der Lage sein wird, sich im Kosovo eine wirtschaftliche Existenz aufzubauen. Nachdem auch sonst keine Gründe ersichtlich sind, die zu einem anderslautenden Schluss führen könnten, ist der Vollzug der Wegweisung somit auch als zumut­bar zu be­zeichnen.</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