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D-6879/2013 vom 25. März 2014</w:t>
      </w:r>
    </w:p>
    <w:p>
      <w:r>
        <w:t>Bundesverwaltungsgericht, 2014-03-25, DE</w:t>
      </w:r>
    </w:p>
    <w:p>
      <w:r>
        <w:rPr>
          <w:b/>
        </w:rPr>
        <w:t xml:space="preserve">Quelle: </w:t>
      </w:r>
      <w:r>
        <w:t>https://mcp.opencaselaw.ch/entscheid/bvger_D-6879_2013</w:t>
      </w:r>
    </w:p>
    <w:p>
      <w:r>
        <w:t>FR: TAF D-6879/2013 du 25 mars 2014</w:t>
      </w:r>
    </w:p>
    <w:p>
      <w:r>
        <w:t>IT: TAF D-6879/2013 del 25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S. 100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5.2</w:t>
      </w:r>
    </w:p>
    <w:p>
      <w:r>
        <w:t>Vor diesem Hintergrund ist festzustellen, dass weder zusätzliche Abklärungen im vorliegenden Beschwerdeverfahren noch weitere Unterlagen zu neuen sachdienlichen Erkenntnissen führen könnten beziehungsweise auch im vorinstanzlichen Verfahren nicht entscheiderheblich gewesen wären. Gestützt auf den gerichtsnotorischen Umstand, dass Beweismittel aller Art in der Heimat des Beschwerdeführers leicht erwerb- und manipulierbar sind, darf davon ausgegangen werden, dass allfällige Nachweise für die ausreichenden Bemühungen um ein gültiges Personaldokument nicht aussagekräftig sind. In antizipierter Beweiswürdigung ist festzustellen, dass eine ergänzende, vertiefte Sachverhaltsfeststellung bei der Beurteilung des vorliegenden Verfahrens nicht zu einem anderen Entscheid führen könnte, da die Vorbringen des Beschwerdeführers offensichtlich nicht asylrelevant sind (siehe nachfolgend unter E. 7). Die entsprechenden Anträge werden demnach abgewiesen.</w:t>
      </w:r>
    </w:p>
    <w:p>
      <w:r>
        <w:rPr>
          <w:b/>
        </w:rPr>
        <w:t>E. 6.1</w:t>
      </w:r>
    </w:p>
    <w:p>
      <w:r>
        <w:t>Verfolgung ist dann asylrechtlich relevant, wenn die um Asyl ersu­chende Person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6.2</w:t>
      </w:r>
    </w:p>
    <w:p>
      <w:r>
        <w:t>Entsprechend der Lehre und Praxis ist sodann erforderlich, dass die asylsuchende Person ernsthafte Nachteile von bestimmter Intensität erlit­ten hat beziehungsweise solche mit beachtlicher Wahrscheinlichkeit und in absehbarer Zukunft befürchten muss. Die Nachteile müssen der asylsuchenden Person gezielt und aufgrund bestimmter Verfolgungsmotive drohen (vgl. Entscheidungen und Mitteilungen der ehemaligen Schweizerischen Asylrekurskommission [EMARK] 2005 Nr. 21 E. 7 S. 193). Vorausgesetzt ist ausserdem, dass die betroffene Person einer landesweiten Verfolgung ausgesetzt ist und sich nicht in einem anderen Teil ihres Heimatstaates in Schutz bringen kann (vgl. EMARK 2006 Nr. 18).</w:t>
      </w:r>
    </w:p>
    <w:p>
      <w:r>
        <w:rPr>
          <w:b/>
        </w:rPr>
        <w:t>E. 7.1</w:t>
      </w:r>
    </w:p>
    <w:p>
      <w:r>
        <w:t>Gemäss Kenntnissen des Bundesverwaltungsgerichts proklamiert die bangladeschische Verfassung den Islam als Staatsreligion, garantiert aber die religiöse Bekenntnisfreiheit und es gibt grundsätzlich keine unmittelbare Einschränkung religiöser Betätigung durch staatliche Behörden (vgl. Urteil des Bundesverwaltungsgerichts D-5808/2009 vom 29. Januar 2010). Der Beschwerdeführer hat denn auch nicht geltend gemacht, er würde von staatlicher Seite verfolgt. Hingegen werden Christen, die über das ganze Land verteilt leben, verschiedenen Orts zuweilen aus Kreisen islamistischer Gruppen privat und beruflich diskriminiert, bisweilen gar schikaniert. Allfällige Übergriffe aus fundamentalistischen islamischen Kreisen gegen einen Konvertiten können vor allem auf dem Land nicht ausgeschlossen werden, wo die soziale Kontrolle wie auch der Einfluss islamistischer Geistlicher besonders wirksam sind. Ein Konvertit kann aber in der Anonymität der Stadt durchaus unbehelligt leben, sofern er ein unauffälliges Profil pflegt (vgl. Urteil des Bundesverwaltungsgerichts D 5808/2009 vom 29. Januar 2010 E. 2.1 S. 8 m.w.H.). Somit kann mit der Vorinstanz davon ausgegangen werden, dass sich der Beschwerdeführer im Grossraum Dhaka vor der Verfolgung durch seine Familie respektive durch die Islamisten in Schutz bringen kann.</w:t>
      </w:r>
    </w:p>
    <w:p>
      <w:r>
        <w:rPr>
          <w:b/>
        </w:rPr>
        <w:t>E. 7.2</w:t>
      </w:r>
    </w:p>
    <w:p>
      <w:r>
        <w:t>Das BFM hat dies in seiner Verfügung vom 4. November 2013 mit ausführlicher und überzeugender Begründung dargelegt, sodass zur Ver­meidung von Wiederholungen darauf verwiesen werden kann. Auch die weiteren Einwände in der Beschwerde vermögen an der Beurteilung des Bundesverwaltungsgerichts nichts zu ändern. Aus der allgemeinen Lage der Christen in Bangladesch vermag der Beschwerdeführer nichts zu sei­nen Gunsten abzuleiten, da sich daraus keine gezielt gegen ihn gerich­tete Verfolgung ergibt. Weiter kann entgegen der Meinung des Beschwerdeführers davon ausgegangen werden, dass es möglich ist, den Übergriffen der Islamisten auszuweichen, leben doch zahlreiche Christen, unter ihnen auch Konvertiten, unbehelligt in Dhaka. Zudem ist nicht davon auszugehen, dass er sich für die Kirche über das Mass anderer Kirchgänger exponiert. Insgesamt ist somit nicht davon auszugehen, der Beschwerdeführer sei in Dhaka beziehungsweise im Grossraum Dhaka einer ernsthaften Gefahr ausgesetzt.</w:t>
      </w:r>
    </w:p>
    <w:p>
      <w:r>
        <w:rPr>
          <w:b/>
        </w:rPr>
        <w:t>E. 7.3</w:t>
      </w:r>
    </w:p>
    <w:p>
      <w:r>
        <w:t>Zusammenfassend ist festzustellen, dass es dem Beschwerdeführer nicht gelungen ist, nachzuweisen oder glaubhaft zu machen, dass er in Bangladesch ernsthafte Nachteile gemäss Art. 3 AsylG erlitten hat, solche bei der Ausreise zu befürchten hatte oder bei einer Rückkehr befürchten müsste. Er erfüllt somit die Voraussetzungen zur Zuerkennung der Flüchtlingseigenschaft nicht, weshalb die Vorinstanz sein Asylbegehren zu Recht abgelehnt hat. Es erübrigt sich deshalb, auf die weiteren Vorbringen in der Rechtsmitteleingabe, insbesondere auch auf diejenigen im Zusammenhang mit einer allfälligen Gefährdung in E._______, sowie die eingereichten Beweismittel im Einzelnen einzugehen, da sie an obiger Erkenntnis nichts zu ändern vermögen.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9.1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Bangladesch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herrscht in Bangladesch eine Situation allgemeiner Gewalt (Vgl. BVGE 2010/8 E. 9.5 S. 115) noch besteht aufgrund der Akten ein Grund zur Annahme, der Beschwerdeführer gerate im Falle einer Rückkehr nach Bangladesch aus individuellen Gründen wirtschaftlicher, sozialer oder gesundheitlicher Natur in eine existenzbedrohende Situation, die den Vollzug der Wegweisung als unzumutbar erscheinen liesse. Vielmehr ist aus den Akten ersichtlich, dass der Beschwerdeführer gesund ist, in Bangladesch eine universitäre Ausbildung begonnen und in E._______ als Hausangestellter, Pizzabäcker und Pizzakurier Berufserfahrung gesammelt hat. Folglich erweist sich der Vollzug der Wegweisung bezogen auf die Lage in Bangladesch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nach Bangladesch auch als möglich zu bezeichnen ist (Art. 83 Abs. 2 AuG).</w:t>
      </w:r>
    </w:p>
    <w:p>
      <w:r>
        <w:rPr>
          <w:b/>
        </w:rPr>
        <w:t>E. 9.6</w:t>
      </w:r>
    </w:p>
    <w:p>
      <w:r>
        <w:t>Zusammenfassend hat die Vorinstanz den Wegweisungsvollzug nach Bangladesch zu Recht als zulässig, zumutbar und möglich erachtet. Eine Auseinandersetzung mit einem Wegweisungsvollzug nach E._______ kann an dieser Stelle unterbleiben.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und vollständig feststellt (Art. 106 Abs. 1 AsylG). Die Beschwerde ist abzuweisen.</w:t>
      </w:r>
    </w:p>
    <w:p>
      <w:r>
        <w:rPr>
          <w:b/>
        </w:rPr>
        <w:t>E. 11.1</w:t>
      </w:r>
    </w:p>
    <w:p>
      <w:r>
        <w:t>Die Gesuche um Gewährung der unentgeltlichen Rechtspflege ge­mäss Art. 65 Abs. 1 VwVG sowie um Gewährung der unentgeltlichen Ver­beiständung gemäss Art. 65 Abs. 2 VwVG sind abzuweisen, da die Be­schwerde aufgrund der vorstehenden Erwägungen als aussichtslos er­scheint.</w:t>
      </w:r>
    </w:p>
    <w:p>
      <w:r>
        <w:rPr>
          <w:b/>
        </w:rPr>
        <w:t>E. 11.2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