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D-6867/2019 vom 8. Januar 2020</w:t>
      </w:r>
    </w:p>
    <w:p>
      <w:r>
        <w:t>Bundesverwaltungsgericht, 2020-01-08, DE</w:t>
      </w:r>
    </w:p>
    <w:p>
      <w:r>
        <w:rPr>
          <w:b/>
        </w:rPr>
        <w:t xml:space="preserve">Quelle: </w:t>
      </w:r>
      <w:r>
        <w:t>https://mcp.opencaselaw.ch/entscheid/bvger_D-6867_2019</w:t>
      </w:r>
    </w:p>
    <w:p>
      <w:r>
        <w:t>FR: TAF D-6867/2019 du 8 janvier 2020</w:t>
      </w:r>
    </w:p>
    <w:p>
      <w:r>
        <w:t>IT: TAF D-6867/2019 del 8 gennaio 2020</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1.3</w:t>
      </w:r>
    </w:p>
    <w:p>
      <w:r>
        <w:t>Mit dem vorliegenden, instruktionslos ergehenden Direktentscheid in der Sache wird das Gesuch um Verzicht auf die Erhebung eines Kostenvorschusses hinfällig.</w:t>
      </w:r>
    </w:p>
    <w:p>
      <w:r>
        <w:rPr>
          <w:b/>
        </w:rPr>
        <w:t>E. 2</w:t>
      </w:r>
    </w:p>
    <w:p>
      <w:r>
        <w:t>2.1 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die Vorinstanz ablehnt, ein Asylgesuch auf seine Begründetheit hin zu überprüfen, ist die Beurteilungskompetenz des Bundesverwaltungsgerichts grundsätzlich auf die Frage beschränkt, ob die Vorinstanz zu Recht auf das Gesuch nicht eingetreten ist (vgl. BVGE 2011/9 E. 5). Bezüglich der Anordnung der Wegweisung und des Wegweisungsvollzugs kommt dem Gericht demgegenüber volle Kognition zu. Die Auffassung in der Beschwerde (vgl. daselbst, S. 2), das Bundesverwaltungsgericht sei verpflichtet, seine volle Kognition auszuschöpfen, erweist sich somit insofern als unzutreffend, als damit eine materielle Prüfung des Asylgesuchs durch das Bundesverwaltungsgericht impliziert wird.</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einen Schriftenwechsel verzichtet.</w:t>
      </w:r>
    </w:p>
    <w:p>
      <w:r>
        <w:rPr>
          <w:b/>
        </w:rPr>
        <w:t>E. 4.1</w:t>
      </w:r>
    </w:p>
    <w:p>
      <w:r>
        <w:t>Als Asylgesuch gilt gemäss Art. 18 AsylG jede Äusserung, mit der eine Person zu erkennen gibt, dass sie die Schweiz um Schutz vor Verfolgung ersucht. Die Praxis geht dabei von einem weiten Verfolgungsbegriff aus; neben den in Art. 3 AsylG genannten Gründen sind auch Wegweisungshindernisse im Sinne von Art. 44 AsylG i.V.m. Art. 83 Abs. 2-4 AIG (SR 142.20) umfasst, sofern diese von Menschenhand geschaffen wurden (vgl. bereits Entscheidungen und Mitteilungen der vormaligen Schweizerischen Asylrekurskommission [EMARK] 2003 Nr. 18 und seither konstante Praxis). Die Voraussetzungen von Art. 18 AsylG sind namentlich dann nicht erfüllt, «wenn das Asylgesuch ausschliesslich aus wirtschaftlichen oder medizinischen Gründen eingereicht» wurde. Ist dies der Fall, so wird nach Art. 31a Abs. 3 AsylG auf das Gesuch nicht eingetreten.</w:t>
      </w:r>
    </w:p>
    <w:p>
      <w:r>
        <w:rPr>
          <w:b/>
        </w:rPr>
        <w:t>E. 4.2</w:t>
      </w:r>
    </w:p>
    <w:p>
      <w:r>
        <w:t>Diese Nichteintretensvoraussetzungen sind vorliegend offensichtlich erfüllt, denn der Beschwerdeführer macht in aller Deutlichkeit geltend, einzig zwecks medizinischer Behandlung in die Schweiz gekommen zu sein; eine von Behörden oder Privaten ausgehende Verfolgung stellt er ausdrücklich in Abrede (vgl. Protokoll der Anhörung insb. F48, F68 und F95). Diese Erkenntnisse werden vom Beschwerdeführer substanziell weder in seiner Stellungnahme noch in der vorliegenden Beschwerde bestritten. Das SEM ist daher zu Recht gestützt auf Art. 31a Abs. 3 AsylG auf das Asylgesuch des Beschwerdeführers nicht eingetreten. Weitere Abklärungen erübrigen sich.</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(vgl. BVGE 2009/50 E. 9).</w:t>
      </w:r>
    </w:p>
    <w:p>
      <w:r>
        <w:rPr>
          <w:b/>
        </w:rPr>
        <w:t>E. 6.1</w:t>
      </w:r>
    </w:p>
    <w:p>
      <w:r>
        <w:t>Ist der Vollzug der Wegweisung nicht zulässig, nicht zumutbar oder nicht möglich,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Verfügt die Vorinstanz die Wegweisung, ordnet sie deren Vollzug an (vgl. Art. 44 AsylG).</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Da der Beschwerdeführer keine Verfolgung geltend macht, findet das in Art. 5 AsylG verankerte Prinzip des flüchtlingsrechtlichen Non-Refoulement im vorliegenden Verfahren keine Anwendung. Sodann sind keinerlei Anhaltspunkte für eine im Georgien drohende menschenrechtswidrige Behandlung im Sinne von Art. 25 Abs. 3 BV, von Art. 3 des Übereinkommens vom 10. Dezember 1984 gegen Folter und andere grausame, unmenschliche oder erniedrigende Behandlung oder Strafe (FoK, SR 0.105) ersichtlich.</w:t>
      </w:r>
    </w:p>
    <w:p>
      <w:r>
        <w:rPr>
          <w:b/>
        </w:rPr>
        <w:t>E. 6.2.3</w:t>
      </w:r>
    </w:p>
    <w:p>
      <w:r>
        <w:t>Soweit sich der Beschwerdeführ auf seinen Gesundheitszustand beruft, könnte die Bestimmung von Art. 3 EMRK - das Verbot der unmenschlichen oder erniedrigenden Behandlung betreffend - der Zulässigkeit des Wegweisungsvollzugs entgegenstehen. Eine zwangsweise Wegweisung von Personen mit gesundheitlichen Problemen kann allerdings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 Eine solche Ausnahmesituation ist vorliegend nicht gegeben; der Gesundheitszustand des Beschwerdeführers vermag die Annahme der Unzulässigkeit im Sinne dieser restriktiven Rechtsprechung nicht zu rechtfertigen.</w:t>
      </w:r>
    </w:p>
    <w:p>
      <w:r>
        <w:rPr>
          <w:b/>
        </w:rPr>
        <w:t>E. 6.2.4</w:t>
      </w:r>
    </w:p>
    <w:p>
      <w:r>
        <w:t>Die Wegweisung des Beschwerdeführers nach Georgien erweist sich somit als zulässig.</w:t>
      </w:r>
    </w:p>
    <w:p>
      <w:r>
        <w:rPr>
          <w:b/>
        </w:rPr>
        <w:t>E. 6.3.1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6.3.2</w:t>
      </w:r>
    </w:p>
    <w:p>
      <w:r>
        <w:t>In Georgien herrscht keine Situation allgemeiner Gewalt. Wie das SEM in den angefochtenen Verfügungen zutreffend festgehalten hat, ist aufgrund der in diesem Land herrschenden allgemeinen politischen Lage nicht von der generellen Unzumutbarkeit des Wegweisungsvollzugs auszugehen.</w:t>
      </w:r>
    </w:p>
    <w:p>
      <w:r>
        <w:rPr>
          <w:b/>
        </w:rPr>
        <w:t>E. 6.3.3</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mit weiteren Hinweisen).</w:t>
      </w:r>
    </w:p>
    <w:p>
      <w:r>
        <w:rPr>
          <w:b/>
        </w:rPr>
        <w:t>E. 6.3.4</w:t>
      </w:r>
    </w:p>
    <w:p>
      <w:r>
        <w:t>Nach Kenntnisstand des Gerichts verfügt Georgien - entgegen der Auffassung in der Beschwerde - über ein funktionierendes Gesundheitssystem, welches vor allem in den letzten Jahren grosse Fortschritte gemacht hat (vgl. Urteil des BVGer E-4637/2019 vom 19. September 2019, m.w.H.). Die Vorinstanz hat in der angefochtenen Verfügung deshalb zu Recht festgestellt, dass der Zugang zu medizinischer Versorgung in Georgien für den Beschwerdeführer gewährleistet sei. Bei dieser Sachlage ist die Notwendigkeit weiterer medizinischer Abklärungen zu verneinen, da weitergehende Untersuchungen und Behandlungen im Heimatland durchgeführt werden können. Der entsprechende Antrag in der Beschwerde (vgl. daselbst, S. 2) ist abzuweisen. Es ist demnach davon auszugehen, dass dem Beschwerdeführer im Fall der Rückkehr keine akute und existenzielle Gesundheitsgefährdung droht.</w:t>
      </w:r>
    </w:p>
    <w:p>
      <w:r>
        <w:rPr>
          <w:b/>
        </w:rPr>
        <w:t>E. 6.3.5</w:t>
      </w:r>
    </w:p>
    <w:p>
      <w:r>
        <w:t>Der Wegweisungsvollzug nach Georgien erweist sich somit als zumutbar, zumal der Beschwerdeführer dort auch über ein verwandtschaftliches Netz verfügt und mit seiner Mutter zusammenlebt, die ihn finanziell unterstützt.</w:t>
      </w:r>
    </w:p>
    <w:p>
      <w:r>
        <w:rPr>
          <w:b/>
        </w:rPr>
        <w:t>E. 6.4</w:t>
      </w:r>
    </w:p>
    <w:p>
      <w:r>
        <w:t>Schliesslich obliegt es dem Beschwerdeführer, sich bei der zuständigen Vertretung seines Heimatstaates die für eine Rückkehr allenfalls zusätzlich benötigten Reisedokumente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 7.Aus diesen Erwägungen ergibt sich, dass die angefochtene Verfügung Bundesrecht nicht verletzt, den rechtserheblichen Sachverhalt richtig sowie vollständig feststellt (Art. 106 Abs. 1 AsylG) und auch sonst nicht zu beanstanden ist. Die Beschwerde ist abzuweisen. 8.Bei diesem Ausgang des Verfahrens sind die Kosten dem Beschwerdeführer aufzuerlegen (Art. 63 Abs. 1 VwVG) und auf insgesamt Fr. 750.- festzusetzen (Art. 1-3 des Reglements vom 21. Februar 2008 über die Kosten und Entschädigungen vor dem Bundesverwaltungsgericht [VGKE, SR 173.320.2]). Angesichts der erkannten Aussichtslosigkeit der Begehren ist das Gesuch um Gewährung der unentgeltlichen Prozessführung nach Art. 65 Abs. 1 VwVG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