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D-6864/2023 vom 12. Januar 2024</w:t>
      </w:r>
    </w:p>
    <w:p>
      <w:r>
        <w:t>Bundesverwaltungsgericht, 2024-01-12, DE</w:t>
      </w:r>
    </w:p>
    <w:p>
      <w:r>
        <w:rPr>
          <w:b/>
        </w:rPr>
        <w:t xml:space="preserve">Quelle: </w:t>
      </w:r>
      <w:r>
        <w:t>https://mcp.opencaselaw.ch/entscheid/bvger_D-6864_2023</w:t>
      </w:r>
    </w:p>
    <w:p>
      <w:r>
        <w:t>FR: TAF D-6864/2023 du 12 janvier 2024</w:t>
      </w:r>
    </w:p>
    <w:p>
      <w:r>
        <w:t>IT: TAF D-6864/2023 del 12 gennaio 2024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</w:t>
      </w:r>
    </w:p>
    <w:p>
      <w:r>
        <w:t>D-6864/2023 Seite 8 dass zur Begleichung der Verfahrenskosten der in gleicher Höhe geleistete Kostenvorschuss zu verwenden ist.</w:t>
      </w:r>
    </w:p>
    <w:p>
      <w:r>
        <w:t>(Dispositiv nächste Seite)</w:t>
      </w:r>
    </w:p>
    <w:p>
      <w:r>
        <w:t>D-6864/2023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