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D-6864/2009 vom 9. Januar 2012</w:t>
      </w:r>
    </w:p>
    <w:p>
      <w:r>
        <w:t>Bundesverwaltungsgericht, 2012-01-09, DE</w:t>
      </w:r>
    </w:p>
    <w:p>
      <w:r>
        <w:rPr>
          <w:b/>
        </w:rPr>
        <w:t xml:space="preserve">Quelle: </w:t>
      </w:r>
      <w:r>
        <w:t>https://mcp.opencaselaw.ch/entscheid/bvger_D-6864_2009</w:t>
      </w:r>
    </w:p>
    <w:p>
      <w:r>
        <w:t>FR: TAF D-6864/2009 du 9 janvier 2012</w:t>
      </w:r>
    </w:p>
    <w:p>
      <w:r>
        <w:t>IT: TAF D-6864/2009 del 9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Gemäss Art. 62 Abs. 4 VwVG ist das Bundesverwaltungsgericht als Beschwerdeinstanz nicht an die rechtliche Begründung der Parteibegehren gebunden (Grundsatz der Rechtsanwendung von Amtes wegen). Die Beschwerdeinstanz darf ihren Entscheid somit anders begründen als die Parteien oder die Vorinstanz. Dabei kann sie die vorinstanzliche Verfügung im Ergebnis bestätigen, dieser aber eine andere Begründung zugrunde legen (vgl. Thomas Häberli in: Bernhard Waldmann/Philippe Weissenberger (Hrsg.), VwVG, Praxiskommentar zum Bundesgesetz über das Verwaltungsverfahren, Zürich/Basel/Genf 2009, Art. 62 Rz 40, S. 1250; Fritz Gygi, Bundesverwaltungsrechtspflege, 2. Aufl., Bern 1983, S. 212). Eine Substitution der Motive durch die Beschwerdeinstanz setzt allerdings voraus, dass sich die substituierende Begründung auf Sachverhaltsdarstellungen bezieht, die dem Betroffenen bekannt sind, und sich auf rechtliche Grundlagen abstützt, deren Anwendung der Betroffene zumindest erwarten musste (vgl. dazu Entscheidungen und Mitteilungen der Schweizerischen Asylrekurskommission [EMARK] 1995 Nr. 12 S. 116). Falls die Beschwerdeinstanz beabsichtigt, zum Nachteil des Beschwerdeführers von einem anderen Sachverhalt auszugehen als die Vorinstanz oder gedenkt, ihren Entscheid auf eine rechtliche Begründung abzustützen, die von den Parteien in keiner Weise erwartet werden muss, hat sie dem Betroffenen vorgängig Gelegenheit zu geben, dazu Stellung zu nehmen und allfällige Beweismittel nachzureichen. Dies ergibt sich unter anderem aus dem Anspruch auf vorgängige Anhörung gemäss Art. 30 Abs. 1 VwVG (vgl. Madleine Camprubi in: Christoph Auer/Markus Müller/Benjamin Schindler, Kommentar zum Bundesgesetz über das Verwaltungsverfahren [VwVG], Zürich/St. Gallen 2008, Art. 62 Rz 15 S. 799; Fritz Gygi, a.a.O., S. 70; BGE 129 II 497 E. 2.2 S. 504 f.).</w:t>
      </w:r>
    </w:p>
    <w:p>
      <w:r>
        <w:rPr>
          <w:b/>
        </w:rPr>
        <w:t>E. 4.2</w:t>
      </w:r>
    </w:p>
    <w:p>
      <w:r>
        <w:t>Die Vorinstanz hat das Asylgesuch des Beschwerdeführers vom 26. Januar 2009 gestützt auf Art. 3 AsylG abgelehnt. Da gewisse Aussagen des Beschwerdeführers widersprüchlich, unplausibel oder unglaubhaft erscheinen, prüft das Bundesverwaltungsgericht das Asylgesuch im Folgenden - wie in der Verfügung vom 15. November 2011 dem Beschwerdeführer vorbehalten - unter dem Aspekt von Art. 7 AsylG.</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EMARK 2005 Nr. 21 E. 6.1 S.190 f.).</w:t>
      </w:r>
    </w:p>
    <w:p>
      <w:r>
        <w:rPr>
          <w:b/>
        </w:rPr>
        <w:t>E. 5.2</w:t>
      </w:r>
    </w:p>
    <w:p>
      <w:r>
        <w:t>Vorab ist festzustellen, dass der Beschwerdeführer den Wortlaut sämtlicher Protokolle, die ihm in seine Muttersprache rückübersetzt wurden, mit seiner Unterschrift bestätigt hat und sich deshalb seine Aussagen entgegenhalten lassen muss.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EVZ in wesentlichen Punkten der Asylbegründung von den späteren Aussagen in der Befragung beim Kanton oder beim BFM diametral abweichen, oder wenn bestimmte Ereignisse oder Befürchtungen, welche später als zentrale Asylgründe genannt werden, nicht bereits in der Befragung im EVZ zumindest ansatzweise erwähnt werden.</w:t>
      </w:r>
    </w:p>
    <w:p>
      <w:r>
        <w:rPr>
          <w:b/>
        </w:rPr>
        <w:t>E. 5.3</w:t>
      </w:r>
    </w:p>
    <w:p>
      <w:r>
        <w:t>Nach Prüfung der Akten durch das Gericht ist festzuhalten, dass die Asylvorbringen des Beschwerdeführers in wesentlichen Punkten widersprüchlich sind. So sagte er anlässlich der Kurzbefragung aus, M._______ habe ihm in der Sitzung vom 27. November 2008 vorgeworfen, Kontakte zur PKK und zum MIT zu haben (Akten BFM A 1/12 S. 6), wohingegen er im Rahmen der freien Schilderung anlässlich der Anhörung mit keinem Wort erwähnte, M._______ habe ihm in der Sitzung vom 27. November 2008 vorgeworfen, mit der PKK und dem MIT zusammenzuarbeiten. Er sagte diesbezüglich aus, seine vier Feinde in der Sektion eins hätten ihn an der Sitzung vom 27. November 2008 attackiert und ihm vorgeworfen, er tue illegale Dinge (A 28/18 S. 6 f.). Zudem gab der Beschwerdeführer bei der Kurzbefragung zu Protokoll, M._______ habe in der Sitzung vom 27. November 2008 verschiedene Dokumente als Beweismittel vorgelegt (A 1/12 S. 6 f.), während er anlässlich der Anhörung (implizit) verneinte, die ihn in der Sitzung vom 27. November 2008 beschuldigenden Personen hätten Beweismittel präsentiert (A 28/18 S. 9 f.). Überdies brachte der Beschwerdeführer anlässlich der Kurzbefragung vor, nachdem er die Sitzung vom 27. November 2008 verlassen habe, sei er umgehend nach Mosul gereist (A 1/12 S. 7), wohingegen er bei der Anhörung erklärte, nach Verlassen der Sitzung vom 27. November 2008 sei er nach Hause gegangen (A 28/18 S. 7 und 11). Ausserdem machte der Beschwerdeführer anlässlich der Kurzbefragung geltend, er habe auf dem Weg nach Mosul von I._______ erfahren, dass die Verantwortlichen der Sektion eins ihn beschuldigen würden, für die PKK und den MIT gearbeitet zu haben, weshalb sie beschlossen hätten, das Politbüro über seine Situation zu informieren (A 1/12 S. 7). Bei der Anhörung brachte er dagegen vor, ein Mitglied der Sektion eins habe ihn angerufen und ihm geraten zu verschwinden, da das Politbüro einen Haftbefehl ausgestellt habe und man ihn verhaften könnte, weshalb er H._______ verlassen habe und nach Mosul gereist sei (A 28/18 S. 7). Schliesslich gab der Beschwerdeführer anlässlich der Anhörung zunächst zu Protokoll, er habe nicht gewusst, dass er von der Polizei gesucht worden sei, als er sich noch im Irak aufgehalten habe (A 28/18 S. 13), wohingegen er kurz darauf geltend machte, er habe vom Haftbefehl erfahren, als er bereits in Mosul gewesen sei (A 28/18 S. 13). Angesichts dieser offensichtlich unterschiedlichen Versionen ist zu schliessen, der Beschwerdeführer könne bei seinen Schilderungen nicht auf Erinnerungen an tatsächliche Begebenheiten zurückgreifen, sondern habe eine Verfolgungssituation erfunden, um seinem Asylgesuch Nachdruck zu verleihen. An dieser Einschätzung vermögen auch die Vorbringen in der Stellungnahme des Beschwerdeführers vom 30. November 2011 nichts zu ändern, da sie nicht geeignet sind, die soeben dargelegten Widersprüche in seinen Aussagen aufzulösen. Zum Einwand, es sei ihm zu vermeintlichen Unglaubhaftigkeitselementen keine Möglichkeit zur Stellungnahme eingeräumt worden, ist festzuhalten, dass aus dem Grundsatz des rechtlichen Gehörs kein Anspruch abgeleitet werden kann, auf die erkennbaren Widersprüche ausdrücklich hingewiesen zu werden und dazu Stellung nehmen zu können (vgl. dazu EMARK 1994 Nr. 13). Im Weiteren ist darauf hinzuweisen, dass der Beschwerdeführer anlässlich der Anhörung erst nachträglich erwähnte, dass I._______ fünfundzwanzig Tage vor der Kurzbefragung getötet worden sei (A 28/18, S. 11), was nicht plausibel ist, da ihm zuvor die Möglichkeit gewährt worden war, weitere Ergänzungen zum Sachverhalt vorzutragen (A 28/18, S. 7) und es sich bei der Ermordung von I._______ nicht um eine Nebensächlichkeit, sondern um einen zentralen Teil seiner Asylgründe handelt, zumal I._______ den Beschwerdeführer am 27. November 2008 telefonisch gewarnt haben soll und der Beschwerdeführer bei der Kurzbefragung vorbrachte, diese Tötung spreche gegen eine Rückkehr in sein Heimatland (A 1/12, S. 7). Die diesbezüglichen Ausführungen in der Stellungnahme des Beschwerdeführers vom 30. November 2011 vermögen dieses verspätete Vorbringen nicht zu erklären. Insbesondere vermag die Behauptung, der Beschwerdeführer spreche nur mit grosser Zurückhaltung über dieses Ereignis, da ihm der Tod von I._______ persönlich sehr nahe gehe, das Gericht nicht zu überzeugen. Die persönliche Glaubwürdigkeit des Beschwerdeführers ist auch deshalb in Frage gestellt, da er bei der Kurzbefragung verneinte, je in einem anderen Land Asyl beantragt zu haben (A 1/12 S. 7), während er anlässlich des rechtlichen Gehörs vom 9. Februar 2009 zugab, im Jahre 2007 in Schweden um Asyl nachgesucht zu haben. Die Behauptung des Beschwerdeführers im Rahmen des rechtlichen Gehörs vom 9. Februar 2009, er habe die Frage falsch verstanden, ist unbehelflich, zumal die Frage unmissverständlich formuliert war. Die Glaubwürdigkeit des Beschwerdeführers ist zudem auch deshalb erschüttert, da er den Grund seines Asylgesuchs in Schweden anlässlich des rechtlichen Gehörs vom 9. Februar 2009 und bei der Anhörung nicht deckungsgleich vortrug. So gab er anlässlich des rechtlichen Gehörs vom 9. Februar 2009 beispielsweise zu Protokoll, Freunde hätten ihm gesagt, er solle nicht nach Kurdistan zurückkehren, da er dort Probleme habe (A 15/4 S. 3), während er bei der Anhörung geltend machte, seine Verwandten hätten ihn gebeten, nicht in den Irak zurückzukehren, da er sonst Probleme mit der Partei bekomme (A 28/18 S. 6). Das Bundesverwaltungsgericht gelangt daher nach Prüfung der Akten und in Würdigung sämtlicher eingereichten Beweismittel zur Erkenntnis, dass es dem Beschwerdeführer nicht gelungen ist, die von ihm geltend gemachte Verfolgung in seinem Heimatland glaubhaft zu machen. An dieser Einschätzung ändern auch die vom Beschwerdeführer als Beweismittel eingereichten Schreiben und Haftbefehle nichts, zumal es sich dabei lediglich um Kopien handelt und es überdies gerichtsnotorisch ist, dass irakische Asylbewerber unter Inanspruchnahme unlauterer Machenschaften behördliche und andere Dokumente zur Stützung ihrer Asylvorträge beibringen. Es wird an dieser Stelle verzichtet, auf weitere vorhandene Unglaubhaftigkeitselemente in den Aussagen des Beschwerdeführers einzugehen. Da die vom Beschwerdeführer zur Begründung seines Asylgesuchs geltend gemachten Vorbringen den umschriebenen Anforderungen an die Glaubhaftmachung nicht genügen, erübrigt es sich, die Asylrelevanz dieser Vorbringen zu prüfen.</w:t>
      </w:r>
    </w:p>
    <w:p>
      <w:r>
        <w:rPr>
          <w:b/>
        </w:rPr>
        <w:t>E. 5.4</w:t>
      </w:r>
    </w:p>
    <w:p>
      <w:r>
        <w:t>Aufgrund der vorstehenden Erwägungen erübrigt es sich, auf die weiteren Ausführungen in der Beschwerde beziehungsweise in der Stellungnahme vom 30. November 2011 und die zahlreich eingereichten Beweismittel weiter einzugehen, weil sie am Ergebnis nichts ändern. Nach dem Gesagten folgt, dass der Beschwerdeführer keine Gründe nach Art. 3 AsylG nachweisen oder glaubhaft machen kann. Das Bundesamt hat sein Asylgesuch somit im Ergebnis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Eine Ausnahme von dieser Regel liegt unter anderem dann vor, wenn die Beschwerde führende Person über eine ausländerrechtliche Aufenthaltsbewilligung (Art. 32 Bst. a der Asylverordnung 1 vom 11. August 1999 über Verfahrensfragen [AsylV 1, SR 142.311]) oder einen Anspruch auf Erteilung einer solchen verfügt (vgl. EMARK 2001 Nr. 21 E. 9.a).</w:t>
      </w:r>
    </w:p>
    <w:p>
      <w:r>
        <w:rPr>
          <w:b/>
        </w:rPr>
        <w:t>E. 6.2</w:t>
      </w:r>
    </w:p>
    <w:p>
      <w:r>
        <w:t>Der Beschwerdeführer hat infolge seiner Heirat mit einer Ausländerin, welche über eine Niederlassungsbewilligung verfügt, grundsätzlich einen Anspruch auf Erteilung einer Aufenthaltsbewilligung. Er und seine Ehefrau ersuchten am 8. August 2011 bei der zuständigen kantonalen Behörde um Erteilung einer Aufenthaltsbewilligung für den Beschwerdeführer gestützt auf Art. 43 Abs. 1 des Bundesgesetzes vom 16. Dezember 2005 über die Ausländerinnen und Ausländer (AuG, SR 142.20). Dieses fremdenpolizeiliche Verfahren ist nach wie vor pendent.</w:t>
      </w:r>
    </w:p>
    <w:p>
      <w:r>
        <w:rPr>
          <w:b/>
        </w:rPr>
        <w:t>E. 6.3</w:t>
      </w:r>
    </w:p>
    <w:p>
      <w:r>
        <w:t>Ist ein grundsätzlicher Anspruch auf Erteilung einer Aufenthaltsbewilligung zu bejahen, fällt die konkrete Beurteilung dieses Anspruchs und damit auch der Entscheid über die Wegweisung in die Zuständigkeit der fremdenpolizeilichen Behörden. Hat, wie vorliegend, die asylsuchende Person bei der zuständigen ausländerrechtlichen Behörde ein Gesuch um Erteilung einer Aufenthaltsbewilligung gestellt, so hat das Bundesverwaltungsgericht eine vom BFM angeordnete Wegweisung (Ziffer 3 des Dispositivs der angefochtenen Verfügung) aufzuheben (EMARK 2001 Nr. 21 E. 8.d, 9. - 11., 12.b und c sowie 14.a).</w:t>
      </w:r>
    </w:p>
    <w:p>
      <w:r>
        <w:rPr>
          <w:b/>
        </w:rPr>
        <w:t>E. 6.4</w:t>
      </w:r>
    </w:p>
    <w:p>
      <w:r>
        <w:t>Nach dem Gesagten ergibt sich, dass die von der Vorinstanz mit Verfügung vom 2. Oktober 2009 verfügte Wegweisung aufzuheben ist. Damit fällt die Grundlage für den Wegweisungsvollzug dahin, weshalb die diesbezüglichen Anordnungen (Ziffern 4 und 5 des Dispositivs der angefochtenen Verfügung) ebenfalls aufzuheben sind.</w:t>
      </w:r>
    </w:p>
    <w:p>
      <w:r>
        <w:rPr>
          <w:b/>
        </w:rPr>
        <w:t>E. 6.5</w:t>
      </w:r>
    </w:p>
    <w:p>
      <w:r>
        <w:t>Die Prüfung der Frage der Wegweisung, beziehungsweise ob allfällige Vollzugshindernisse vorliegen, fällt damit in die Zuständigkeit der kantonalen Behörde, gegen deren Verfügungen der ausländerrechtliche Rechtsweg offen steht.</w:t>
      </w:r>
    </w:p>
    <w:p>
      <w:r>
        <w:rPr>
          <w:b/>
        </w:rPr>
        <w:t>E. 7</w:t>
      </w:r>
    </w:p>
    <w:p>
      <w:r>
        <w:t>Zusammenfassend ergibt sich, dass die Beschwerde nach dem Gesagten bezüglich der Frage der Flüchtlingseigenschaft und des Asyls (Ziffern 1 und 2 des Dispositivs der angefochtenen Verfügung) abzuweisen ist. Hinsichtlich der Wegweisung (Ziffer 3 des Dispositivs der angefochtenen Verfügung) und deren Vollzug (Ziffern 4 und 5 des Dispositivs der angefochtenen Verfügung) ist die Beschwerde im Sinne vorstehender Erwägungen gutzuheissen (sie würde im Sinne der Praxis gemäss EMARK 2001 Nr. 21 E. 11.c in diesem Punkt nur dann gegenstandslos, wenn die beantragte Aufenthaltsbewilligung bereits erteilt worden wäre), und die Ziffern 3 bis 5 des Dispositivs der angefochtenen Verfügung sind aufzuheben.</w:t>
      </w:r>
    </w:p>
    <w:p>
      <w:r>
        <w:rPr>
          <w:b/>
        </w:rPr>
        <w:t>E. 8.1</w:t>
      </w:r>
    </w:p>
    <w:p>
      <w:r>
        <w:t>Der Beschwerdeführer ist im vorliegenden Beschwerdeverfahren bezüglich der Feststellung der Flüchtlingseigenschaft und des Asylantrages unterlegen und auf die Wegweisung wird aufgrund von ausserhalb des Asylverfahrens liegenden Gründen verzichtet, weshalb er grundsätzlich die Verfahrenskosten von Fr. 600.- zu tragen hätte (Art. 63 Abs. 1 VwVG). In Anbetracht des Umstandes, dass die Beschwerde im Zeitpunkt ihrer Einreichung nicht als aussichtslos zu bezeichnen war, die Bedürftigkeit des Beschwerdeführers belegt wurde und keine Anhaltspunkte für eine wesentliche Veränderung seiner finanziellen Situation vorliegen, wird jedoch das Gesuch um Gewährung der unentgeltlichen Rechtspflege gemäss Art. 65 Abs. 1 VwVG gutgeheissen und es werden keine Verfahrenskosten auferlegt.</w:t>
      </w:r>
    </w:p>
    <w:p>
      <w:r>
        <w:rPr>
          <w:b/>
        </w:rPr>
        <w:t>E. 8.2</w:t>
      </w:r>
    </w:p>
    <w:p>
      <w:r>
        <w:t>Angesichts des teilweisen Obsiegens des Beschwerdeführers wäre zu Lasten der Vorinstanz eine reduzierte Parteientschädigung zuzusprechen, indessen erfolgte das teilweise Obsiegen aufgrund von ausserhalb des Asylverfahrens liegenden Gründen und steht in keinem Zusammenhang mit den Beschwerdevorbringen, weshalb keine Parteientschädigung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