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D-6854/2016 vom 20. Juni 2017</w:t>
      </w:r>
    </w:p>
    <w:p>
      <w:r>
        <w:t>Bundesverwaltungsgericht, 2017-06-20, DE</w:t>
      </w:r>
    </w:p>
    <w:p>
      <w:r>
        <w:rPr>
          <w:b/>
        </w:rPr>
        <w:t xml:space="preserve">Quelle: </w:t>
      </w:r>
      <w:r>
        <w:t>https://mcp.opencaselaw.ch/entscheid/bvger_D-6854_2016</w:t>
      </w:r>
    </w:p>
    <w:p>
      <w:r>
        <w:t>FR: TAF D-6854/2016 du 20 juin 2017</w:t>
      </w:r>
    </w:p>
    <w:p>
      <w:r>
        <w:t>IT: TAF D-6854/2016 del 20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 Auf die Durchführung eines Schriftenwechsels wurde verzichtet (Art. 111a Abs. 1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w:t>
      </w:r>
    </w:p>
    <w:p>
      <w:r>
        <w:t>Für die Begründung des Entscheides des SEM kann auf die Akten verwiesen werden. Aufgrund der nachfolgenden Erwägungen ist auch - ungeachtet der Beschwerdebegründung mit Bezug auf mehrere kritische Berichte über die Situation von Asylsuchenden in Ungarn - auf die diesbezüglichen Ausführungen im Einzelnen nicht näher einzugehen.</w:t>
      </w:r>
    </w:p>
    <w:p>
      <w:r>
        <w:rPr>
          <w:b/>
        </w:rPr>
        <w:t>E. 5.1</w:t>
      </w:r>
    </w:p>
    <w:p>
      <w:r>
        <w:t>Das Bundesverwaltungsgericht hat im Urteil D-7853/2015 vom 31. Mai 2017 (zur Publikation als Referenzurteil vorgesehen)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E. 13 des Urteils).</w:t>
      </w:r>
    </w:p>
    <w:p>
      <w:r>
        <w:rPr>
          <w:b/>
        </w:rPr>
        <w:t>E. 5.2</w:t>
      </w:r>
    </w:p>
    <w:p>
      <w:r>
        <w:t>Aus denselben Gründen ist es dem Gericht auch vorliegend nicht möglich, die sich im Zusammenhang mit einer Überstellung nach Ungarn stellenden Fragen zu beurteilen. Die angefochtene Verfügung ist folglich aufzuheben und die Sache zur vollständigen Sachverhaltsfeststellung sowie zu neuer Entscheidung an die Vorinstanz zurückzuweisen. Somit erübrigt sich eine vertiefte Auseinandersetzung mit den einzelnen Beschwerdevorbringen, die sich ausschliesslich mit der Situation in Ungarn befassten.</w:t>
      </w:r>
    </w:p>
    <w:p>
      <w:r>
        <w:rPr>
          <w:b/>
        </w:rPr>
        <w:t>E. 5.3</w:t>
      </w:r>
    </w:p>
    <w:p>
      <w:r>
        <w:t>Die Beschwerde ist daher gutzuheissen, soweit die Aufhebung der vor-instanzlichen Verfügung beantragt wurde.</w:t>
      </w:r>
    </w:p>
    <w:p>
      <w:r>
        <w:rPr>
          <w:b/>
        </w:rPr>
        <w:t>E. 6.1</w:t>
      </w:r>
    </w:p>
    <w:p>
      <w:r>
        <w:t>Bei diesem Ausgang des Verfahrens sind keine Kosten zu erheben (Art. 63 Abs. 1 und 2 VwVG).</w:t>
      </w:r>
    </w:p>
    <w:p>
      <w:r>
        <w:rPr>
          <w:b/>
        </w:rPr>
        <w:t>E. 6.2</w:t>
      </w:r>
    </w:p>
    <w:p>
      <w:r>
        <w:t>Dem vertretenen Beschwerdeführer ist angesichts seines Obsiegens in Anwendung von Art. 64 Abs. 1 VwVG und Art. 7 Abs. 1 des Reglements vom 21. Februar 2008 über die Kosten und Entschädigungen vor dem Bundesverwaltungsgericht (VGKE, SR 173.320.2) eine Entschädigung für die ihm erwachsenen notwendigen und verhältnismässig hohen Kosten zuzusprechen. Eine Kostennote wurde bisher nicht zu den Akten gereicht. Auf das Nachfordern einer solchen kann indes verzichtet werden, da sich der notwendige Vertretungsaufwand aufgrund der Akten hinreichend zuverlässig abschätzen lässt. Gestützt auf die in Betracht zu ziehenden Bemessungsfaktoren (Art. 9-13 VGKE) ist dem Beschwerdeführer zu Lasten der Vorinstanz eine Parteientschädigung von Fr. 600.-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