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D-6848/2011 vom 23. Mai 2012</w:t>
      </w:r>
    </w:p>
    <w:p>
      <w:r>
        <w:t>Bundesverwaltungsgericht, 2012-05-23, DE</w:t>
      </w:r>
    </w:p>
    <w:p>
      <w:r>
        <w:rPr>
          <w:b/>
        </w:rPr>
        <w:t xml:space="preserve">Quelle: </w:t>
      </w:r>
      <w:r>
        <w:t>https://mcp.opencaselaw.ch/entscheid/bvger_D-6848_2011</w:t>
      </w:r>
    </w:p>
    <w:p>
      <w:r>
        <w:t>FR: TAF D-6848/2011 du 23 mai 2012</w:t>
      </w:r>
    </w:p>
    <w:p>
      <w:r>
        <w:t>IT: TAF D-6848/2011 del 23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Zudem ist nach Lehre und Praxis für die Anerkennung der Flüchtlingseigenschaft erforderlich, das die asylsuchende Person ernsthafte Nachteile von bestimmter Intensität erlitten hat, beziehungsweise solche mit beachtlicher Wahrscheinlichkeit und in absehbarer Zukunft befürchten muss. Die Nachteile müssen der asylsuchenden Person gezielt und aufgrund bestimmter Verfolgungsmotive drohen oder zugefügt worden sein (vgl. Entscheidungen und Mitteilungen der [vormaligen] Schweizerischen Asylrekurskommission [EMARK] 2005 Nr. 21).</w:t>
      </w:r>
    </w:p>
    <w:p>
      <w:r>
        <w:rPr>
          <w:b/>
        </w:rPr>
        <w:t>E. 5.1</w:t>
      </w:r>
    </w:p>
    <w:p>
      <w:r>
        <w:t>Nach Prüfung der Akten durch das Gericht ist in Übereinstimmung mit der Vorinstanz festzustellen, dass die Vorbringen der Beschwerdeführerin nicht asylrelevant sind, weshalb diesbezüglich vorab auf die zutreffenden vorinstanzlichen Erwägungen zu verweisen ist (vgl. Bst. B vorstehend). Die Vorbringen in der Rechtsmittelschrift sind nicht geeignet, eine Änderung der vorinstanzlichen Verfügung zu bewirken. Der Argumentation des BFM werden keine stichhaltigen und substanziierten Gründe entgegengesetzt. An dieser Einschätzung vermögen die eingereichte Todesurkunde ihres Cousins sowie der Internetauszug nichts zu ändern, zumal der Tod des Cousins nicht in Frage gestellt wird und darüber hinaus vorliegend asylrechtlich nicht von Belang ist. Ungeachtet dessen ist entgegen der Behauptung der Beschwerdeführerin festzustellen, dass ihr Cousin gemäss der Todesurkunde nicht von den srilankischen Sicherheitskräften erschossen worden ist, sondern offenbar Suizid durch Zyankali begangen hat. Es erstaunt, dass die Beschwerdeführerin nicht über die wahren Todesumstände im Bilde ist. Soweit in der Rechtsmittelschrift zudem geltend gemacht wird, es habe sich beim Cousin um den Verlobten der Beschwerdeführerin gehandelt, weshalb sie nahe Beziehungen zur LTTE aufweise und deshalb in grosser Gefahr sei, ist festzuhalten, dass dieses Vorbringen als nachgeschoben und damit unglaubhaft zu beurteilen ist, da sie anlässlich der protokollierten Befragungen allein von ihrem "boy­friend" gesprochen hat. Gleiches gilt für die erst auf Beschwerdeebene vorgebrachte Behauptung, sie sei im Jahr 2008 von den srilankischen Sicherheitskräften festgenommen und während vierzehn Tagen inhaftiert gewesen. Der Umstand, dass sie sich seit mehr als eineinhalb Jahren in der Schweiz aufhält und hier ein Asylgesuch eingereicht hat, vermag ebenfalls nicht zur Annahme einer begründeten Furcht vor zukünftiger Verfolgung zu führen, da keine Anhaltspunkte dafür bestehen, dass sie sich im nahen Umfeld der LTTE bewegt und von den srilankischen Sicherheitskräften landesweit gesucht wurde beziehungsweise in Zukunft verfolgt würde. Die Beschwerdeführerin gehört somit keiner der im zur Publikation vorgesehenen Urteil des Bundesverwaltungsgerichts BVGE E-6220/2006 vom 27. Oktober 2011 definierten Risikogruppe an, weshalb sie in Sri Lanka keine asylrelevante Verfolgung zu befürchten hat.</w:t>
      </w:r>
    </w:p>
    <w:p>
      <w:r>
        <w:rPr>
          <w:b/>
        </w:rPr>
        <w:t>E. 5.2</w:t>
      </w:r>
    </w:p>
    <w:p>
      <w:r>
        <w:t>Zusammenfassend ist daher festzuhalten, dass es der Beschwerdeführerin nicht gelungen ist, nachzuweisen oder zumindest glaubhaft zu machen, dass sie in ihrer Heimat ernsthafte Nachteile gemäss Art. 3 AsylG erlitten hat oder solche bei der Ausreise zu befürchten hatte oder im Falle einer Rückkehr nach Sri Lanka befürchten müsste. Die Beschwerdeführerin vermag mit ihren Beschwerdevorbringen und den eingereichten Beweismitteln zu keiner anderen Betrachtungsweise zu führen, weshalb es sich erübrigt, weiter darauf einzugehen. Das BFM hat demnach zu Recht die Flüchtlingseigenschaft der Beschwerdeführerin verneint und deren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Bundesverwaltungsgericht hat im zur Publikation vorgesehenen Urteil BVGE E-6220/2006 vom 27. Oktober 2011 eine neue Beurteilung der allgemeinen Lage sowie der Nord- und Ostprovinzen Sri Lankas unter dem Sicherheitsaspekt vorgenommen und hat dazu im Wesentlichen folgendes festgehalten: Seit Beendigung des bewaffneten Konflikts zwischen der sri-lankischen Armee und der LTTE im Mai 2009 hat sich die allgemeine Lage in Sri Lanka erheblich verbessert (vgl. a.a.O. E. 7.6). Die LTTE wurden militärisch vernichtend geschlagen; von der LTTE geht heute keine Verfolgung mehr aus.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dorthin nichts im Wege steht (vgl. a.a.O. E. 13.2.1).</w:t>
      </w:r>
    </w:p>
    <w:p>
      <w:r>
        <w:rPr>
          <w:b/>
        </w:rPr>
        <w:t>E. 7.4.2</w:t>
      </w:r>
    </w:p>
    <w:p>
      <w:r>
        <w:t>Gemäss eigenen Angaben lebte die junge, soweit aktenkundig gesunde und ledige Beschwerdeführerin seit ihrer Geburt - mit einem Jahr Unterbruch - bis Januar 2010 in B._______ (Jaffna Distrikt). Danach war sie drei Monate bei ihrer Tante in D._______, ehe sie die letzten Monate bis zu ihrer Ausreise in E._______ bei Bekannten verbrachte. Neben ihren Eltern in B._______ leben noch zwei Brüder in Sri Lanka; einer in D._______ und einer in F._______ (Jaffna Distrikt). Es liegen keine Hinweise vor, die zur Annahme führen könnten, dass ihre Familienangehörigen sie nicht wieder aufnehmen würden. Im Weiteren verfügt die Beschwerdeführerin über eine zwölfjährige Schulbildung inklusive A-Level und Berufserfahrung als Lehrerin für die Mittelstufe. Zudem hat sie etwa zwei Jahre bei einer NGO gearbeitet und Schreib­maschinenunterricht erteilt. Folglich besteht eine Grundlage zur Aufnahme einer künftigen Tätigkeit und zum Aufbau einer wirtschaftlichen Existenz. Darüber hinaus kann von einem tragfähigen sozialen und familiären Beziehungsnetz ausgegangen werden. Blosse soziale und wirtschaftliche Schwierigkeiten, von denen die ansässige Bevölkerung im Allgemeinen betroffen ist, genügen nicht, um eine konkrete Gefährdung im Sinne von Art. 83 Abs. 4 AuG darzustellen (vgl. BVGE 2008/34 E. 11.2.2). Es erweist sich somit, dass die Beschwerdeführerin die vom Bundesverwaltungsgericht in der Lagebeurteilung vom 27. Oktober 2011 bezüglich der Zumutbarkeit des Wegweisungsvollzugs nach Sri Lanka formulierten Kriterien erfüllt. In casu liegen keine Anhaltspunkte vor, die darauf schliessen liessen, die Beschwerdeführerin sei bei einer Rückkehr nach Sri Lanka einer konkreten Gefährdung im Sinne von Art. 83 Abs. 4 AuG ausgesetzt, weshalb der Vollzug der Wegweisung als zumutbar zu bezeichnen ist.</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und 5 VwVG), auf insgesamt Fr. 600.- festzusetzen (Art. 1 - 3 des Reglements vom 21. Februar 2008 über die Kosten und Entschädigungen vor dem Bundesverwaltungsgericht [VGKE, SR 173.320.2]) und mit dem am 10. Januar 2012 in der gleichen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