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D-6848/2010 vom 10. Oktober 2011</w:t>
      </w:r>
    </w:p>
    <w:p>
      <w:r>
        <w:t>Bundesverwaltungsgericht, 2011-10-10, DE</w:t>
      </w:r>
    </w:p>
    <w:p>
      <w:r>
        <w:rPr>
          <w:b/>
        </w:rPr>
        <w:t xml:space="preserve">Quelle: </w:t>
      </w:r>
      <w:r>
        <w:t>https://mcp.opencaselaw.ch/entscheid/bvger_D-6848_2010</w:t>
      </w:r>
    </w:p>
    <w:p>
      <w:r>
        <w:t>FR: TAF D-6848/2010 du 10 octobre 2011</w:t>
      </w:r>
    </w:p>
    <w:p>
      <w:r>
        <w:t>IT: TAF D-6848/2010 del 10 ottobre 2011</w:t>
      </w:r>
    </w:p>
    <w:p>
      <w:pPr>
        <w:pStyle w:val="Heading2"/>
      </w:pPr>
      <w:r>
        <w:t>Regeste</w:t>
      </w:r>
    </w:p>
    <w:p>
      <w:r>
        <w:t>Migration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wird in der Replik eine Verletzung des rechtlichen Gehörs gerügt. Das BFM habe in der Vernehmlassung vom 14. Oktober 2010 gänzlich darauf verzichtet, auf den Inhalt der Beschwerde im Einzelnen einzugehen, obwohl diese sich sehr ausführlich mit der Glaubhaftigkeit des Beschwerdeführers auseinandergesetzt habe. Auch die von Beschwerdeführer eingereichten Beweismittel, welche im Entscheid D-6782/2006 eine wesentliche Rolle gespielt hätten, seien sehr wohl "erheblich", und das erwähnte Urteil sei im vorliegenden Fall heranzuziehen.</w:t>
      </w:r>
    </w:p>
    <w:p>
      <w:r>
        <w:rPr>
          <w:b/>
        </w:rPr>
        <w:t>E. 3.2</w:t>
      </w:r>
    </w:p>
    <w:p>
      <w:r>
        <w:t>Das BFM ist nicht gehalten, in der Vernehmlassung ausführlich die ganze Beschwerde zu kommentieren. Es kann sich kurz dazu äussern und sich auf das absolut Wesentliche beschränken beziehungsweise lediglich festhalten, es beantrage die Abweisung der Beschwerde. Dass das BFM im vorliegenden Fall eine andere Schlussfolgerung zog als der Beschwerdeführer, stellt jedenfalls keine Verletzung der Begründungspflicht dar, weshalb die entsprechende Rüge nicht gehört werden kann.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Vorbringen in der Rechtsmitteleingabe vom 22. September 2010 sind nicht geeignet, eine Änderung der vorinstanzlichen Verfügung zu bewirken. Der Argumentation der Vorinstanz werden keine stichhaltigen und substanziierten Gründe entgegengesetzt. Eine diesbezügliche Auseinandersetzung unterbleibt zwar nicht. Die Ausführungen des Beschwerdeführers vermögen jedoch die nachvollziehbaren Erwägungen des BFM nicht umzustossen. Eigenen Angaben zufolge will der Beschwerdeführer in C._______ zweimal festgenommen worden sein, wobei ihm beide Male die Flucht gelungen sei. Dennoch will er jedes Mal dorthin zurück gekehrt sein. Ein solches Verhalten ist jedoch mit demjenigen einer tatsächlich verfolgten Person nicht zu vereinbaren, welche in aller Regel den Ort ihrer Festnahme beziehungsweise der erlittenen Behelligung inskünftig weitgehend meidet. Der Beschwerdeführer konnte den auch dafür keine plausible Erklärung liefern (vgl. A11/19 S. 10 und S. 13; A18/28 S. 17 F. 175). Auffallend ist auch, dass den Aussagen des Beschwerdeführers im Zusammenhang mit dem Massaker im Dorf seines Onkels vom 9. Januar 2005, bei dem sein Onkel sein Leben verloren haben soll, keinerlei Hinweise auf seine inneren Befindlichkeiten zu entnehmen sind. An keiner Stelle kommen seine Gefühle oder Ängste während des Angriffs der arabischen Milizen zum Ausdruck. Demgegenüber sind jedoch Menschen, die sich tatsächlich in einer vom Beschwerdeführer geschilderten Situation befunden haben, erfahrungsgemäss zu einer differenzierten und anschaulichen Darstellung ihrer inneren Befindlichkeiten im Stande, die denn auch von einer subjektiven Sichtweise geprägt ist. Die entsprechenden Ausführungen des Beschwerdeführers lassen jedoch jegliche persönlich gefärbte Betroffenheit vermissen. Demnach besteht für das Bundesverwaltungsgericht nach Überprüfung der Akten keine Veranlassung, die Erwägungen des Bundesamtes zu beanstanden. Bei dieser Sachlage kann, um Wiederholungen zu vermeiden, auf die Ausführungen in der angefochtenen Verfügung verwiesen werden. Nach dem Gesagten droht dem Beschwerdeführer keine asylrelevante Verfolgung im Sinne von Art. 3 AsylG.</w:t>
      </w:r>
    </w:p>
    <w:p>
      <w:r>
        <w:rPr>
          <w:b/>
        </w:rPr>
        <w:t>E. 5.1</w:t>
      </w:r>
    </w:p>
    <w:p>
      <w:r>
        <w:t>Es stellt sich jedoch noch die Frage, ob im vorliegenden Fall objektiver Nachfluchtgründe bestehen, zumal Angehörige der Ethnie der Zaghawa im Rahmen der kriegerischen Auseinandersetzungen zum Teil ernsthaften Nachteilen ausgesetzt waren (vgl. EMARK 2006 Nr. 25). In diesem Zusammenhang ist festzuhalten, dass sich die willkürlichen Übergriffe der Janjaweed-Milizen auf Angehörige der Zhagawa und andere Minderheiten auf die Region Darfur beschränken. Es ergeben sich keine Hinweise darauf, dass sich Angehörige der betroffenen Minderheiten im ganzen Sudan ernsthaften Nachteilen ausgesetzt sähen (vgl. Michael Kirschner und Anna Fach, Sudan: Rückkehrgefährdung für Personen aus Darfur, Bern, 28. November 2006). Sicherheitsprobleme mit den Behörden können zwar im Einzelfall auch in Khartoum bestehen, insbesondere wenn politische Aktivitäten vermutet werden, solche betreffen jedoch nicht das Kollektiv als Ganzes sondern bedingen eine Betrachtung des Einzelfalls. Es gibt auch Zaghawa, die sich bereits seit mehreren Jahrzehnten in anderen Landesteilen niedergelassen haben und damit kaum von den Konflikten in Darfur betroffen sind. In diesem Zusammenhang ist darauf hinzuweisen, dass der Beschwerdeführer während seines vierjährigen Studiums in Khartoum lebte und eigenen Angaben zufolge sehr gut Arabisch spricht (vgl. A1/8 S. 2 "arabo molto bene"), was vermuten lässt, dass er sich schon seit längerer Zeit nicht mehr in Darfur aufgehalten hat. Angesichts des Umstandes, dass der Beschwerdeführer keine asylrelevante Verfolgung während seines Aufenthalts in Khartoum geltend machte, ist nicht davon auszugehen, dass er allein aufgrund seiner ethnischen Zugehörigkeit begründete Furcht vor Verfolgung hat.</w:t>
      </w:r>
    </w:p>
    <w:p>
      <w:r>
        <w:rPr>
          <w:b/>
        </w:rPr>
        <w:t>E. 5.2</w:t>
      </w:r>
    </w:p>
    <w:p>
      <w:r>
        <w:t>Schliesslich stellt sich die Frage einer Gefährdung des Beschwerdeführers im Falle der Rückkehr aufgrund subjektiver Nachfluchtgründe.</w:t>
      </w:r>
    </w:p>
    <w:p>
      <w:r>
        <w:rPr>
          <w:b/>
        </w:rPr>
        <w:t>E. 5.2.1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BVGE 2009/28 E.7.1 S. 352, EMARK 1995 Nr. 7 E. 7b und 8 S. 67 und 70).</w:t>
      </w:r>
    </w:p>
    <w:p>
      <w:r>
        <w:rPr>
          <w:b/>
        </w:rPr>
        <w:t>E. 5.3</w:t>
      </w:r>
    </w:p>
    <w:p>
      <w:r>
        <w:t>Im Verlauf des Asylverfahrens hat der Beschwerdeführer mehrere Fotos sowie zwei UNO-Teilnehmerkarten eingereicht, um das von ihm in der Schweiz geltend gemachte Engagement für Gerechtigkeit in seinem Heimatland und seine Teilnahme an zahlreichen Protestkundgebungen und Veranstaltungen zu beweisen. Das BFM hat jedoch zu Recht festgehalten, dass sich der Beschwerdeführer für die sudanesische Regierung nicht erkennbar als Regimekritiker exponiert hat und sein politisches Engagement nicht demjenigen in dem von ihm zitierten Referenzfall entspricht. Vielmehr hat der Beschwerdeführer im vorliegenden Fall sein exilpolitisches Engagement nur in bescheidenem und wenig überzeugenden Ausmass betrieben. Man darf davon ausgehen, dass die sudanesischen Behörden kein Interesse an derartigen, politisch unbedeutenden Aktivitäten ihrer Landsleute haben, mit denen Emigranten offensichtlich eine vorläufige Aufnahme in ihrem Zielland anvisieren. Das Interesse der sudanesischen Behörden ist in Wirklichkeit beschränkt auf die eigentlichen Regimegegner, welche gegebenenfalls mit den zur Verfügung stehenden, beschränkten Personalressourcen überwacht werden, soweit dies überhaupt möglich ist. Der Beschwerdeführer gehört nicht zu dieser Kategorie von Zielpersonen. Seine exilpolitischen Aktivitäten, soweit diese über seine unumgängliche Mitwirkung an der Produktion der eingereichten Beweismittel hinausgehen, verschaffen ihm kein Profil, welches die sudanesischen Behörden als staatsfeindliche Aktivität im Ausland auffassen könnten. Vor diesem Hintergrund besteht kein hinreichender Anlass zur Annahme, dass der Beschwerdeführer bei der Rückkehr in den Sudan mit ernsthaften Nachteilen von Seiten des sudanesischen Regimes zu rechnen hätte. Insofern unterscheidet sich der vorliegende Fall wesentlich von dem vom Beschwerdeführer zitierten Referenzfall, wo es um einen tatsächlich engagierten, politisch ausserordentlich profilierten Sudanesen ging, dessen offizielle Teilnahme an einer UNO-Konferenz als erwiesen erachtet wurde (vgl. Urteil des Bundesverwaltungsgerichts D 6782/2006 vom 30. Januar 2008 E. 5.3.3 S. 16). Dem Beschwerdeführer ist es zwar gelungen, zwei Teilnehmerkarten (mit Foto) der UNO zu ergattern, doch verleiht allein deren Besitz noch kein herausragendes politisches Profil. Eine Gleichbehandlung dieser beiden Fälle wäre in Anbetracht ihrer Verschiedenartigkeit nicht sachgerecht. Aufgrund der vorstehenden Erwägungen erübrigt es sich, auf die weiteren Ausführungen in der Eingabe des Beschwerdeführers sowie auf die weiteren eingereichten Beweismittel im Einzelnen einzugehen, da sie am Ergebnis der vorgenommenen Würdigung nichts zu ändern vermögen. Es ist dem Beschwerdeführer nicht gelungen, eine Verfolgung im Sinne von Art. 3 AsylG nachzuweisen oder glaubhaft zu machen. Bei dieser Sachlage ist auch die geltend gemachte Furcht vor künftiger Verfolgung als unbegründet zu erkennen, weshalb das Vorliegen von subjektiven Nachfluchtgründen im Sinne von Art. 54 AsylG zu verneinen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 mit weiteren Hinweisen).</w:t>
      </w:r>
    </w:p>
    <w:p>
      <w:r>
        <w:rPr>
          <w:b/>
        </w:rPr>
        <w:t>E. 6.3</w:t>
      </w:r>
    </w:p>
    <w:p>
      <w:r>
        <w:t>Zu prüfen bleibt in der Regel, ob es Gründe gibt, die dem Vollzug der Wegweisung entgegenstehen (vgl. Art. 44 AsylG und Art. 83 Abs. 1 - 4 AuG). Vorliegend hat jedoch das Bundesamt in der angefochtenen Verfügung die vorläufige Aufnahme des Beschwerdeführers in der Schweiz angeordnet, wodurch die Prüfung allfälliger Wegweisungshindernisse entfällt.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Gemäss Art. 65 Abs. 1 VwVG haben auf Antrag hin diejenigen Personen Anspruch auf unentgeltliche Rechtspflege, welche nicht über die erforderlichen Mittel verfügen und deren Begehren nicht aussichtslos scheinen. Der Beschwerdeführer stellte mit der Beschwerde den Antrag, ihm sie die unentgeltliche Rechtspflege zu gewähren. Die vom Beschwer­deführer gestellten Begehren erscheinen im Zeitpunkt der Beschwerdeeingabe nicht aussichtslos und er ist bedürftig im Sinne von Art. 65 Abs. 1 VwVG.</w:t>
      </w:r>
    </w:p>
    <w:p>
      <w:r>
        <w:rPr>
          <w:b/>
        </w:rPr>
        <w:t>E. 8.2</w:t>
      </w:r>
    </w:p>
    <w:p>
      <w:r>
        <w:t>Das Gesuch um Gewährung der unentgeltlichen Rechtspflege im Sinne von Art. 65 Abs. 1 VwVG ist deshalb gutzuheissen und es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