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D-6844/2007 vom 9. Februar 2009</w:t>
      </w:r>
    </w:p>
    <w:p>
      <w:r>
        <w:t>Bundesverwaltungsgericht, 2009-02-09, DE</w:t>
      </w:r>
    </w:p>
    <w:p>
      <w:r>
        <w:rPr>
          <w:b/>
        </w:rPr>
        <w:t xml:space="preserve">Quelle: </w:t>
      </w:r>
      <w:r>
        <w:t>https://mcp.opencaselaw.ch/entscheid/bvger_D-6844_2007</w:t>
      </w:r>
    </w:p>
    <w:p>
      <w:r>
        <w:t>FR: TAF D-6844/2007 du 9 février 2009</w:t>
      </w:r>
    </w:p>
    <w:p>
      <w:r>
        <w:t>IT: TAF D-6844/2007 del 9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50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zumal sich die Beschwerde ausdrücklich nur gegen den Vollzug der Wegweisung richtet. Betreffend Asyl und die angeordnete Wegweisung wird weder ein konkreter Antrag gestellt, noch lässt sich ein solcher sinngemäss aus der Begründung ableiten. Es ist deshalb zu prüfen, ob die Vorinstanz den Vollzug der Wegweisung zu Recht angeordnet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w:t>
      </w:r>
    </w:p>
    <w:p>
      <w:r>
        <w:t>Das BFM begründete seine Verfügung damit, dass sich die Sicherheitssituation für Ashkali im Kosovo weiter verbessert habe. Es könne - mit Ausnahme einiger Gemeinden bzw. Dörfer - nicht mehr von einer Gefährdungssituation ausgegangen werden. Die Schweizerische Vertretung in Pristina habe vor Ort Abklärungen gemacht und diese Einschätzung bestätigt. Der Vorfall, bei dem die Schwester der Beschwerdeführerin vergewaltigt worden sei, liege sechs Jahre zurück, und sie habe deshalb nichts zu befürchten. Es sei ihr überlassen, allenfalls bei den im Kosovo stationierten Sicherheitskräften Schutz anzufordern. Zudem schützten Grossfamilien und feste Beziehungsnetze Frauen in traditionsverbundenen ländlichen Gebieten vor solchen Übergriffen. Die Wahrscheinlichkeit, dass albanischsprachige Roma, Ashkali und Ägypter im Kosovo allein aufgrund ihrer Ethnie konkret gefährdet seien, könne ausgeschlossen werden. Der Vollzug der Wegweisung sei auch für Personen mit langjährigem Aufenthalt in Deutschland zumutbar. Die Beschwerdeführenden beherrschten sowohl die albanische als auch die deutsche Sprache, was bei einer Rückkehr in den Kosovo vorteilhaft sei. Beide hätten sich zwar zu ihrem Heimatland distanziert, es sei aber bekannt, dass Roma und Ashkali in grösseren Familienverbänden lebten. Es sei davon auszugehen, dass ihnen die kulturellen Sitten und Gebräuche vertraut seien. Der Vollzug in die Heimat würde somit nicht zu einer generellen sozialen Entwurzelung führen. Der Beschwerdeführer bringe die Voraussetzungen mit, um sich im Kosovo eine Existenz aufzubauen. In D._______ lebten viele Verwandte, weshalb sich die Beschwerdeführenden auf ein tragfähiges soziales Beziehungsnetz stützen könnten. Sie könnten anfänglich auf Unterstützung der im westlichen Ausland lebenden Verwandten zählen. Es könne davon ausgegangen werden, dass sie bei ihren im Kosovo lebenden Verwandten Unterkunft finden könnten.</w:t>
      </w:r>
    </w:p>
    <w:p>
      <w:r>
        <w:rPr>
          <w:b/>
        </w:rPr>
        <w:t>E. 5.2</w:t>
      </w:r>
    </w:p>
    <w:p>
      <w:r>
        <w:t>In der Beschwerde und der Beschwerdeergänzung wird geltend gemacht, die Beschwerdeführenden würden von der albanischen Mehrheitsbevölkerung im Kosovo als Zigeuner betrachtet und seien dort nicht erwünscht. Die Lage für Roma - zu welchen auch die Ashkali zu rechnen seien - werde gemäss Berichten zahlreicher Organisationen, die sich gegen eine Rückführung aussprächen, als gefährlich erachtet. Das BFM scheine diese Berichte nicht in Betracht gezogen zu haben, da es von einer Verbesserung der Sicherheitssituation ausgegangen sei. Die KFOR interveniere teilweise nicht, wenn Roma angegriffen würden, und in vielen Fälle würden die Angriffe auf Angehörige ethnischer Minderheiten nicht registriert. Angehörige ethnischer Minderheiten, die Anzeige erstatteten, hätten mit weiteren Schwierigkeiten zu rechnen. Es sei noch niemand wegen eines Übergriffs auf Roma verurteilt worden. Sogar nach den Ereignissen vom März 2004 sei niemand festgenommen worden. Man könne hinsichtlich des Kosovos weder von Rechtsstaat noch von schutzwilligen Sicherheitskräften sprechen, zumal dieser von Leuten geführt werde, die für ethnische Säuberungen verantwortlich seien. Im Fall der Beschwerdeführenden sprächen mehrere Fakten gegen die Zumutbarkeit des Wegweisungsvollzugs. Ihre Sicherheit sei in der Region D._______ immer noch nicht gegeben. Der Vater des Beschwerdeführers habe für die serbische Polizei gearbeitet. Allein schon eine Vermutung der Kollaboration sei im Kosovo ein fast sicheres Todesurteil. Da ein Teil seiner Familie nach Belgrad geflohen sei, sei die Gefahr einer Verfolgung erhöht. Die Beschwerdeführerin leide immer noch unter den Folgen der Attacke auf ihre Schwester. Ihre Familie sei als Opfer einer ethnischen Säuberungsaktion immer noch gefährdet. Der Beschwerdeführer habe seine Heimat nach der Ausreise im Jahre 1991 nicht mehr gesehen und besitze weder Land noch Haus. Sie hätten keine Möglichkeit, in der Heimat ihre Existenz zu sichern. Ihre Verwandten seien nicht in der Lage, sie zu unterstützen, da sie selbst in Not lebten.</w:t>
      </w:r>
    </w:p>
    <w:p>
      <w:r>
        <w:rPr>
          <w:b/>
        </w:rPr>
        <w:t>E. 5.3</w:t>
      </w:r>
    </w:p>
    <w:p>
      <w:r>
        <w:t>Das BFM führt in seiner Vernehmlassung aus, die Sicherheitslage im Kosovo habe sich gemäss einem Positionspapier des UNHCR vom Juni 2006 und verschiedenen Berichten des Verbindungsbüros in Pristina für Ashkali und Ägypter insgesamt gesehen verbessert. In keinem Bezirk/Dorf mit bisher guter Sicherheitslage habe sich die Lage in den letzten Jahren verschlechtert. Auch in Pristina habe sich die Lage der Ashkali deutlich verbessert. Das UNCHR betrachte diese Bevölkerungsgruppe nicht mehr allein aufgrund ihrer Ethnie als schutzbedürftig. Auch das Bundesverwaltungsgericht gehe davon aus, dass die Gemeinde D._______ zu den Gemeinden gehöre, in denen die Sicherheitslage für Ashkali wenig problematisch sei.</w:t>
      </w:r>
    </w:p>
    <w:p>
      <w:r>
        <w:rPr>
          <w:b/>
        </w:rPr>
        <w:t>E. 5.4</w:t>
      </w:r>
    </w:p>
    <w:p>
      <w:r>
        <w:t>In der Stellungnahme wird entgegnet, in den eingereichten Berichten und dem Positionspapier des UNHCR werde festgehalten, dass die Lage ethnischer Minderheiten immer noch problematisch sei. Es sei nicht in Betracht gezogen worden, dass die Beschwerdeführerin unter psychischen Problemen leide und in psychiatrischer Behandlung sei. Ihre im Kosovo lebenden Verwandten hätten keine Möglichkeit, sie nach einer Rückkehr zu unterstützen. Hinzu komme, dass der Beschwerdeführer einen Teil seiner Familie in Serbien habe. Die ethnische Säuberung des Kosovos daure an. In vielen Fällen seien Romas aus den Gemeinderegistern "verschwunden" und könnten nicht mehr beweisen, woher sie stammten.</w:t>
      </w:r>
    </w:p>
    <w:p>
      <w:r>
        <w:rPr>
          <w:b/>
        </w:rPr>
        <w:t>E. 6</w:t>
      </w:r>
    </w:p>
    <w:p>
      <w:r>
        <w:t>Das Bundesverwaltungsgericht hat im Beschwerdeverfahren der Eltern des Beschwerdeführers festgestellt, dass ein namhaftes Kollaborieren seines Vaters mit den damaligen serbischen Machthabern nicht geltend gemacht wurde und auch unwahrscheinlich erscheine (vgl. Urteil vom heutigen Tag, Verfahren D-6858/2007). Es sei insgesamt unwahrscheinlich, dass sein Vater aus Sicht der albanischen Mehrheitsbevölkerung als Kollaborateur der serbischen Behörden wahrgenommen werde.</w:t>
      </w:r>
    </w:p>
    <w:p>
      <w:r>
        <w:rPr>
          <w:b/>
        </w:rPr>
        <w:t>E. 7.1</w:t>
      </w:r>
    </w:p>
    <w:p>
      <w:r>
        <w:t>Vorab ist darauf hinzuweisen, dass die ARK in einem unter Entscheidungen und Mitteilungen der Schweizerischen Asylrekurskommission [EMARK] 2001 Nr. 13 publizierten Entscheid festgehalten hat, dass sich die Lage im Kosovo seit der Intervention der NATO 1999 und dem Rückzug der serbischen Truppen zum Positiven verändert hat, da unter anderem durch die 1999 eingesetzte KFOR (Kosovo Force) der Schutz der ethnischen Minderheiten im Kosovo verbessert worden sei. Nach den Erkenntnissen des Bundesverwaltungsgerichts sind im Kosovo die bisher zuständigen Behörden - im Rahmen ihrer Möglichkeiten - systematisch gegen Bedrohungen und Übergriffe Dritter vorgegangen. Insoweit kann zum heutigen Zeitpunkt von einem präventiven und konkreten Schutzwillen und einer weitgehenden Schutzfähigkeit der im Kosovo tätigen nationalen Sicherheitsbehörden, namentlich der UNMIK, der Kosovo Police Service (KPS) und der KFOR ausgegangen werden (zur Frage der Schutzgewährung durch internationale Organisationen im Kosovo vgl. BVGE 2007/31 E. 5.4 S.380). Es ist somit festzuhalten, dass die Behörden im Kosovo bislang grundsätzlich in der Lage waren, den Schutz von ethnischen Minderheiten zu gewährleisten.</w:t>
      </w:r>
    </w:p>
    <w:p>
      <w:r>
        <w:rPr>
          <w:b/>
        </w:rPr>
        <w:t>E. 7.2</w:t>
      </w:r>
    </w:p>
    <w:p>
      <w:r>
        <w:t>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des Kosovos ergeben, vollumfänglich zu erfüllen. Die allgemeine Lage der Ashkali, Ägypter und Roma hat sich bisher nicht wesentlich ver-bessert; es konnte zwar keine direkte Gewaltanwendung gegen sie festgestellt werden, indes sind sie nach wie vor schwierigen Lebensbedingungen sowie Diskriminierungen in den Bereichen von Erziehung, Fürsorge, Gesundheitsversorgung, Wohnen und Beschäftigung ausgesetzt (vgl. Schweizerische Flüchtlingshilfe [SFH], Kosovo, Update: Aktuelle Entwicklungen vom 12. August 2008, S. 19). In Würdigung der vorstehenden Erwägungen gelangt das Bundesverwaltunsgericht zum Schluss, dass Angehörige ethnischer Minderheiten grundsätzlich die Möglichkeit haben, sich an die heimatlichen Behörden zu wenden und diese um Schutz vor Belästigungen Dritter zu ersuchen.</w:t>
      </w:r>
    </w:p>
    <w:p>
      <w:r>
        <w:rPr>
          <w:b/>
        </w:rPr>
        <w:t>E. 8.1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Kosovo ist demnach unter dem Aspekt von Art. 5 AsylG rechtmässig. Sodann ergeben sich weder aus den Aussagen der Beschwerdeführenden noch aus den Akten Anhaltspunkte dafür, dass sie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Dies gelingt ihnen jedoch nicht, zumal - wie vorstehend unter E. 6 festgehalten - nicht davon ausgegangen wird, dass der Vater des Beschwerdeführers als Kollaborateur der Serben betrachtet wird. Das Bundesverwaltungsgericht erachtet es als unwahrscheinlich, dass die Beschwerdeführerin aufgrund des Überfalls auf ihre Familie vom Jahr 2001, bei dem ihre Schwester vergewaltigt worden sei, mit Übergriffen rechnen muss. Die Täter waren ihren Aussagen gemäss maskiert, so dass sie diese nicht erkennen konnte. Zudem wird sie traditionsgemäss mit ihrem Ehemann zu dessen Familienverband ziehen, wo sie einen gewissen Schutz geniessen wird. Gleich wie Art. 3 FoK geht im Übrigen Art. 7 des Internationalen Pakts vom 16. Dezember 1966 über bürgerliche und politische Rechte (SR 0.103.2) in seiner Tragweite nicht über Art. 3 EMRK hinaus (vgl. dazu BGE 124 I 231 E. 2a S. 235 f.). Alleine aus der allgemeinen Menschenrechtssituation im Kosovo schliesslich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8.2.1</w:t>
      </w:r>
    </w:p>
    <w:p>
      <w:r>
        <w:t>Hinsichtlich des Kosovos ist im heutigen Zeitpunkt klarerweise nicht das Bild einer gänzlich unsicheren Allgemeinsituation zu zeichnen. Eine dermassen prekäre, von bewaffneten Konflikten oder jederzeit drohenden Unruhen geprägte Lage, aufgrund derer die Beschwerdeführenden sich bei einer Rückkehr unweigerlich einer konkreten Gefährdung ausgesetzt sehen würden, ist mithin zu verneinen. Sodann ist festzustellen, dass blosse soziale und wirtschaftliche Schwierigkeiten, von denen die ansässige Bevölkerung im Allgemeinen betroffen ist, nicht genügen, um eine Gefährdung im Sinne von Art. 83 Abs. 4 AuG darzustellen (vgl. die weiterhin zutreffende Praxis der ARK in EMARK 2005 Nr. 24 E. 10.1. S. 215).</w:t>
      </w:r>
    </w:p>
    <w:p>
      <w:r>
        <w:rPr>
          <w:b/>
        </w:rPr>
        <w:t>E. 8.2.2</w:t>
      </w:r>
    </w:p>
    <w:p>
      <w:r>
        <w:t>Was die albanischsprachigen Roma, Ashkali und "Ägypter" aus dem Kosovo im Allgemeinen betrifft, so hat das Bundesverwaltungsgericht in BVGE 2007/10 die letzte Lagebeurteilung der ARK (wiedergegeben in EMARK 2006 Nr. 10 und Nr. 11) aktualisiert und befunden, dass der Wegweisungsvollzug von Angehörigen dieser Minderheiten in den Kosovo in der Regel zumutbar ist, sofern aufgrund einer Einzelfallabklärung - insbesondere durch vor Ort-Untersuchungen durch das Verbindungsbüro in Kosovo - feststeht, dass bestimmte Reintegrationskriterien - wie berufliche Ausbildung, Gesundheitszustand, Alter, ausreichende wirtschaftliche Lebensgrundlage und Beziehungsnetz - erfüllt sind. Die bereits erwähnte Unabhängigkeit des Kosovos rechtfertigt auch aktuell keine Neubeurteilung.</w:t>
      </w:r>
    </w:p>
    <w:p>
      <w:r>
        <w:rPr>
          <w:b/>
        </w:rPr>
        <w:t>E. 8.2.3</w:t>
      </w:r>
    </w:p>
    <w:p>
      <w:r>
        <w:t>In D._______, dem Herkunftsort der Beschwerdeführenden, halten sich gemäss den Abklärungen des Schweizerischen Verbindungsbüros in Kosovo die beiden Onkel des Beschwerdeführers mit deren Familien und seiner Grossmutter auf. Auf dem Hof der Grossfamilie stehen drei Häuser, welche offenbar alle bewohnbar sind und von seinen Angehörigen bewohnt werden. Einer der beiden Onkel ist lokal bekannt, da er eine NGO, welche die Interessen der Ashkali vertritt, und ein Internet-Café führt. Die Sicherheitslage stellt sich in D._______ - auch die Eltern der Beschwerdeführerin leben in D._______ -, offenbar nicht derart dar, dass sich die zahlreichen Verwandten der Beschwerdeführenden zum Verlassen des Kosovos veranlasst gesehen haben. Vor diesem Hintergrund dürften einer Wiederansiedlung jedenfalls keine massgeblichen Sicherheitsprobleme entgegenstehen. Dass sie im Heimatstaat über ein grosses soziales Netz verfügen, ergibt sich bereits durch die erwähnten Angehörigen vor Ort. Zumindest der Beschwerdeführer stammt aus einer Grossfamilie und dürfte die aufgrund der langjährigen Landesabwesenheit möglicherweise nicht mehr sehr engen Kontakte neu festigen können. Aufgrund der Aktenlage ist jedenfalls der Schluss zu ziehen, dass sie in sozialer Hinsicht nicht allein auf sich gestellt sein werden. Der Beschwerdeführer hat die Schulbildung in Deutschland absolviert, wo er eine Lehre als Verkäufer machte und mehrere Jahre auf seinem Beruf arbeitete. Er spricht neben seiner Muttersprache albanisch auch sehr gut deutsch. Eine Unterstützung durch die im Ausland lebenden Verwandten der Beschwerdeführenden erscheint ebenfalls möglich. Schliesslich dürfte die Wohnungsfrage aufgrund der Abklärungsergebnisse zumindest für die erste Zeit geklärt sein, so dass sich die Beschwerdeführenden allenfalls mit Hilfe der diesbezüglich unterstützenden Organisationen vor Ort einrichten können. Die Beschwerdeführerin wies bei der kantonalen Befragung darauf hin, dass sie unter Depressionen leide und Medikamente einnehmen müsse. Diesbezüglich ist darauf hinzuweisen, dass im Kosovo mehrere Möglichkeiten bestehen, psychische Erkrankungen zu behandeln. Die gängigen Medikamente sind im Kosovo erhältlich; zudem kann die Beschwerdeführerin bei Bedarf einen Vorrat an Medikamenten mitnehmen, der bis zu einer allenfalls notwendigen weiteren Behandlung bzw. Umstellung der Medikamente ausreichen wird. Hinsichtlich möglicher Probleme bei der Finanzierung einer medizinischen Behandlung ist darauf hinzuweisen, dass es der Beschwerdeführerin offensteht, ein entsprechendes Gesuch um Rückkehrhilfe zu stellen (vgl. Art. 93 Abs. 1 Bst. d AsylG). Die Beschwerdeführenden werden indessen mit den Eltern und der Schwester des Beschwerdeführers in den Kosovo zurückkehren und es ist anzunehmen, dass sie sich in den in der Heimat lebenden Familienverband einfügen können. Aufgrund der Ausbildung des Beschwerdeführers und seinen guten Deutschkenntnissen dürfte es ihm mittelfristig gelingen, Arbeit zu finden. Ohne die Schwierigkeiten der Familie, die sich seit Jahren im westlichen Ausland aufgehalten hat, bei der Rückkehr zu verkennen, darf demnach davon ausgegangen werden, dass die Beschwerdeführenden in ihrer Heimat nicht in eine existenzgefährdende Situation geraten werden.</w:t>
      </w:r>
    </w:p>
    <w:p>
      <w:r>
        <w:rPr>
          <w:b/>
        </w:rPr>
        <w:t>E. 8.2.4</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(vgl. die vom Bundesverwaltungsgericht übernommene Praxis der ARK: EMARK 2005 Nr. 6 E. 6. S. 55 ff., 1998 Nr. 31 E. 8c.ff.ccc S. 260 f., 1998 Nr. 13 S. 98 f. E. 5e.aa.). Die Verwurzelung von Kindern in der Schweiz ist zwar bei der Beurteilung der Zumutbarkeit einer Rückkehr ins Heimatland eher von untergeordneter Bedeutung, sie kann aber eine reziproke Wirkung auf die Frage der Zumutbarkeit der Wegweisungsvollzugs haben, indem eine starke Assimilierung in der Schweiz - und davon ist bei einem längeren Aufenthalt von Kindern auszugehen - eine Entwurzelung im Heimatstaat zur Folge haben kann, welche unter Umständen die Rückkehr dorthin als unzumutbar erscheinen lässt. Diese Voraussetzungen sind im vorliegenden Fall offensichtlich nicht gegeben. Die Tochter C._______ ist erst viereinhalb Jahre alt und somit noch stark von ihren Eltern abhängig. Zu berücksichtigen ist diesbezüglich auch, dass die Beschwerdeführenden in ihrer Heimat über ein verwandtschaftliches Beziehungsnetz verfügen, was sich positiv auf die Eingliederung ihrer Tochter auswirken dürfte.</w:t>
      </w:r>
    </w:p>
    <w:p>
      <w:r>
        <w:rPr>
          <w:b/>
        </w:rPr>
        <w:t>E. 8.2.5</w:t>
      </w:r>
    </w:p>
    <w:p>
      <w:r>
        <w:t>Nach dem Gesagten erweist sich der Vollzug der Wegweisung als zumutbar. An diesem Schluss vermögen auch die ins Recht gelegten Berichte über die Lage der ethnischen Minderheiten im Kosovo und die weiteren Ausführungen in den Beschwerdeeingaben nichts zu ändern, da die Praxis des Bundesverwaltungsgerichts in Beachtung zahlreicher, öffentlich zugänglicher Quellen festgelegt wurde. Es erübrigt sich deshalb, hier auf die eingereichten Beweismittel im Einzelnen einzugehen.</w:t>
      </w:r>
    </w:p>
    <w:p>
      <w:r>
        <w:rPr>
          <w:b/>
        </w:rPr>
        <w:t>E. 8.3</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den Beschwerdeführenden aufzuerlegen (Art. 63 Abs. 1 und 5 VwVG). Da ihnen mit Zwischenverfügung vom 16. Oktober 2007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