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D-6838/2008 vom 4. März 2009</w:t>
      </w:r>
    </w:p>
    <w:p>
      <w:r>
        <w:t>Bundesverwaltungsgericht, 2009-03-04, DE</w:t>
      </w:r>
    </w:p>
    <w:p>
      <w:r>
        <w:rPr>
          <w:b/>
        </w:rPr>
        <w:t xml:space="preserve">Quelle: </w:t>
      </w:r>
      <w:r>
        <w:t>https://mcp.opencaselaw.ch/entscheid/bvger_D-6838_2008</w:t>
      </w:r>
    </w:p>
    <w:p>
      <w:r>
        <w:t>FR: TAF D-6838/2008 du 4 mars 2009</w:t>
      </w:r>
    </w:p>
    <w:p>
      <w:r>
        <w:t>IT: TAF D-6838/2008 del 4 marzo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 Gemäss ständiger Praxis erstreckt sich sodann die Zuständigkeit der Beschwerdeinstanz aufgrund des engen sachlichen Zusammenhangs auch auf die Verweigerung der Einreisebewilligung im Sinne von Art. 20 Abs. 2 AsylG (vgl. Entscheidungen und Mitteilungen der Schweizerischen Asylrekurskommission [EMARK] 2000 Nr. 12).</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Beschwerdeeingabe vom 29. Oktober 2008 ist form- und fristgerecht eingereicht; die Beschwerdeführerin ist legitimiert (Art. 6 AsylG i.V.m. Art. 48 und 50 und 52 ff. VwVG). Auf die Beschwerde ist mithin einzutreten. Die Eingabe der Beschwerdeführerin vom 1. September 2008 hat sich mit der Verfügung des BFM vom 11. September 2008 gekreuzt (vgl. Sachverhalt Bst. D.); sie ist im Rahmen des vorliegenden Beschwerdeverfahrens in die Beurteilung einzubeziehen.</w:t>
      </w:r>
    </w:p>
    <w:p>
      <w:r>
        <w:rPr>
          <w:b/>
        </w:rPr>
        <w:t>E. 2</w:t>
      </w:r>
    </w:p>
    <w:p>
      <w:r>
        <w:t>In formeller Hinsicht ist zunächst festzuhalten, dass gemäss Art. 19 AsylG ein Asylgesuch im Ausland bei einer schweizerischen Vertretung gestellt werden kann, welche es mit einem Bericht an das Bundesamt überweist (Art. 20 Abs. 1 AsylG); zur Abklärung des Sachverhalts führt die schweizerische Vertretung mit der asylsuchenden Person in der Regel eine Befragung durch (Art. 10 Abs. 1 der Asylverordnung 1 vom 11. August 1999 über Verfahrensfragen [AsylV 1, SR 142.311]; vgl. zur Auslegung und Tragweite dieser Bestimmung BVGE 2007/30). Im vorliegenden Fall wurde diesen gesetzlichen Bestimmungen durch die Befragung der Beschwerdeführerin und ihrer ältesten Tochter vom 26. Juni 2008 sowie den ergänzenden Bericht der schweizerischen Vertretung vom 27. Juni 2008 Genüge getan.</w:t>
      </w:r>
    </w:p>
    <w:p>
      <w:r>
        <w:rPr>
          <w:b/>
        </w:rPr>
        <w:t>E. 3</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gültige Praxis gemäss EMARK 1997 Nr. 15, insbesondere S. 131 ff.).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4.1</w:t>
      </w:r>
    </w:p>
    <w:p>
      <w:r>
        <w:t>Das BFM führt in der angefochtenen Verfügung aus, dass es sich bei den erfolgten Übergriffen und Drohungen seitens des Ex-Ehemannes der Beschwerdeführerin um private Verfolgungsakte handle, welche nur dann einreiserelevant seien, wenn der Staat seiner Schutzpflicht nicht nachkomme oder nicht in der Lage sei, Schutz zu gewähren. Im Falle der Beschwerdeführerin hätten die türkischen Behörden indessen offenbar alle zur Verfügung stehenden Massnahmen ergriffen, um die Beschwerdeführerin und ihre Kinder vor den Übergriffen ihres Ex-Ehemannes/Vaters zu schützen. So seien sie von den zuständigen heimatlichen Behörden in verschiedenen Frauenhäusern und in einem UNHCR-Flüchtlingscamp untergebracht worden. Ferner sei der Ex-Ehemann der Beschwerdeführerin festgenommen und ein Strafverfahren gegen ihn eröffnet worden; dieser habe im Übrigen nur deshalb in G._______ auf sie schiessen können, weil sie auf den Schutz der türkischen Behörden in einem Frauenhaus verzichtet habe, um sich für einen Versöhnungsversuch in ihren Heimatort zurück zu begeben. Nach dem Angriff habe sie die nötige medizinische Versorgung erhalten und zudem sei sie von lokalen Frauenorganisationen unterstützt worden. Interventionen von Vertreterinnen des für Frauenangelegenheiten zuständigen türkischen Ministeriums bei der schweizerischen Vertretung in Ankara für eine beförderliche Behandlung des Einreisegesuches der Beschwerdeführerin zeigten schliesslich, dass deren Probleme den türkischen Behörden bekannt und wichtig seien. Damit hätten die türkischen Behörden alles Nötige und Mögliche unternommen, um den Ex-Ehemann der Beschwerdeführerin für seine Taten zu bestrafen und die Beschwerdeführerin und deren Kinder vor seinen Drohungen und weiteren Übergriffen zu schützen. Ein umfassender und absoluter Schutz zu jeder Zeit und an jedem Ort durch die staatlichen Behörden sei in solchen Fällen naturgemäss nicht möglich und werde denn auch von der asylrechtlichen Rechtsprechung (Entscheidungen und Mitteilungen der Schweizerischen Asylrekurskommission [EMARK] 1996 Nr. 28) nicht verlangt. Schliesslich sei festzuhalten, dass die Beschwerdeführerin von ihrer eigenen Familie nicht verstossen worden sei und sich in K._______ bei Verwandten habe aufhalten können. Insgesamt sei die Beschwerdeführerin demnach nicht auf den Schutz der Schweiz angewiesen, mithin nicht schutzbedürftig im Sinne des Asylgesetzes, weshalb ihr Asylgesuch abzuweisen und die Einreise in die Schweiz nicht zu bewilligen seien (vgl. BFM-Verfügung vom 11. September 2008, Ziff. II, S. 3 f.).</w:t>
      </w:r>
    </w:p>
    <w:p>
      <w:r>
        <w:rPr>
          <w:b/>
        </w:rPr>
        <w:t>E. 4.2</w:t>
      </w:r>
    </w:p>
    <w:p>
      <w:r>
        <w:t>Die Beschwerdeführerin wiederholt in ihren Eingaben vom 1. September 2008 und vom 29. Oktober 2008 im Wesentlichen ihre im erstinstanzlichen Verfahren gemachten Angaben und bringt vor, im Falle von drohenden Ehrenmorden könnten die türkischen Behörden keinen ausreichenden Schutz bieten, wie der Fall von Özlem Arslan zeige. Der Frauenverein G._______ führe ferner in seinem Schreiben vom 28. Oktober 2008 aus, dass die Anzahl der staatlichen Frauenhäuser ungenügend sei und diese Refugien zudem nur für eine Schutzgewährung von drei bis sechs Monaten vorgesehen seien; einige dieser Häuser nähmen sodann keine von Ehrenmord bedrohte Frauen auf, da Täterfamilien auch die Verantwortlichen der Institutionen bedrohten. Im Gegensatz zu der von der Vorinstanz vertretenen Auffassung könne ihr schliesslich auch die eigene Familie nicht wirksam helfen, wie sich aus dem Schreiben von [...] ergebe.</w:t>
      </w:r>
    </w:p>
    <w:p>
      <w:r>
        <w:rPr>
          <w:b/>
        </w:rPr>
        <w:t>E. 4.3.1</w:t>
      </w:r>
    </w:p>
    <w:p>
      <w:r>
        <w:t>Nach Prüfung der Akten gelangt das Bundesverwaltungsgericht zunächst zum Schluss, dass das BFM den rechtserheblichen Sachverhalt in ausreichender Weise abgeklärt hat, um einen Entscheid über die Frage einer Gefährdung der Beschwerdeführerin fällen zu können. Angesichts der detaillierten schriftlichen Angaben der Beschwerdeführerin und den von ihr zu den Akten gereichten Beweismitteln besteht für das Bundesverwaltungsgericht sodann - in Übereinstimmung mit dem BFM - kein Anlass, an der Glaubhaftigkeit der Vorbringen der Beschwerdeführerin zu zweifeln.</w:t>
      </w:r>
    </w:p>
    <w:p>
      <w:r>
        <w:rPr>
          <w:b/>
        </w:rPr>
        <w:t>E. 4.3.2</w:t>
      </w:r>
    </w:p>
    <w:p>
      <w:r>
        <w:t>Soweit die Frage der Beziehungsnähe zur Schweiz betreffend, ist festzuhalten, dass sich die Vorinstanz in ihrer Verfügung vom 11. September 2008 nicht zu dieser Frage äussert. Auch wenn angesichts der nachfolgenden Erwägungen die Frage letztlich offen bleiben kann, ist diesbezüglich immerhin zu bemerken, dass in der Schweiz eine Schwester der Beschwerdeführerin als anerkannter Flüchtling lebt. Auch wenn es sich dabei nicht um ein Mitglied der Kernfamilie der Beschwerdeführerin handelt, ist damit grundsätzlich vom Bestehen einer massgeblichen Beziehungsnähe der Beschwerdeführerin zur Schweiz auszugehen, ist doch in dieser Hinsicht nach ständiger Rechtsprechung nicht das Vorliegen der Voraussetzungen des Familienasyls im Sinne von Art. 51 AsylG zu verlangen (vgl. EMARK 2004 Nr. 21 E. 4b.aa S. 139 f.).</w:t>
      </w:r>
    </w:p>
    <w:p>
      <w:r>
        <w:rPr>
          <w:b/>
        </w:rPr>
        <w:t>E. 4.3.3</w:t>
      </w:r>
    </w:p>
    <w:p>
      <w:r>
        <w:t>In Bezug auf die der Beschwerdeführerin von ihrem Ex-Ehemann in der Vergangenheit zugefügten Nachteile sowie die gegenwärtigen Drohungen und Einschüchterungen ist sodann festzuhalten, dass diese Handlungen in ihrer ihrer Gezieltheit und Intensität durchaus geeignet sind, um bei der Beschwerdeführerin objektiv begründete Furcht vor künftiger Verfolgung hervorzurufen (vgl. zu den Anforderungen an die begründete Furcht EMARK 2004 Nr. 1 E. 6a S. 9, m.w.H.). Es bleibt demnach zu prüfen, ob sich die Beschwerdeführerin, wie von der Vorinstanz vertreten, mit Aussicht auf den Erhalt von Schutz vor dieser Verfolgung an die Behörden und Institutionen ihres Heimatstaates wenden kann oder ob sie auf internationalen Schutz - der lediglich subsidiär zur Anwendung kommt - angewiesen ist (vgl. BVGE 2008/1 E. 5 S. 154 f.).</w:t>
      </w:r>
    </w:p>
    <w:p>
      <w:r>
        <w:rPr>
          <w:b/>
        </w:rPr>
        <w:t>E. 4.3.4</w:t>
      </w:r>
    </w:p>
    <w:p>
      <w:r>
        <w:t>Diesbezüglich ist festzustellen, dass die Türkei in den vergangenen Jahren kontinuierlich Schritte zur Verbesserung der rechtlichen und gesellschaftlichen Situation der Frauen im Allgemeinen sowie im Besonderen zu deren Schutz vor Übergriffen mit sozio-kulturellem Hintergrund bis hin zum Ehrenmord unternommen hat. So trat im Jahre 1998 das Familienschutzgesetz Nr. 4320 in Kraft, welches im Jahre 2007 ergänzt wurde und auf Gewaltprävention, Opferschutz sowie Bestrafung von Übergriffen abzielt. Zu diesem Zweck wurden 166 Familiengerichte eingerichtet, von denen derzeit 157 operationell sind; der Zugang zu diesen Gerichten ist für die klagende Partei kostenlos, wie im Übrigen auch die Vollstreckung eines allfälligen Urteils. Mit einer entsprechenden Revision des türkischen Strafgesetzbuches wurden im Jahre 2004 zudem die Strafrahmen von Straftaten gegen Frauen erhöht und gleichzeitig die früher bestehenden Strafmilderungsgründe in Fällen von Ehrenmord und Vergewaltigung aufgehoben; gemäss Art. 82 des Strafgesetzbuches gilt Ehrenmord nunmehr als qualifiziertes Tötungsdelikt, welches mit lebenslänglicher Gefängnisstrafe zu ahnden ist. Das Gemeindegesetz Nr. 5393 verpflichtet sodann jede Gemeinde mit über 50'000 Einwohnern zum Aufbau von Schutzeinrichtungen für Frauen und Kinder (vgl. dazu UK Border Agency, Country of Origin Information Report, Turkey, 29. August 2008, S. 141-164, mit Hinweisen auf weitere Quellen). In Nachachtung dieser neuen gesetzlichen Bestimmungen kam es seither einerseits verschiedentlich zu Verurteilungen von Männern, welche sich eines Ehrverbrechens schuldig gemacht hatten; so wurden beispielsweise im Jahre 2007 durch Gerichte in Istanbul und Diyarbakir lebenslange Freiheitsstrafen wegen Ehrenmorden verhängt (vgl. U.S. Department of State, Turkey, Country Report on Human Rights Practices 2007, 11. März 2008, &lt;http://www.state.gov/g/drl/rls/hrrpt/2007/100589.htm&gt; abgerufen am 4.2.2009). Andererseits wurden etliche Frauenhäuser eingerichtet - so betreibt das SHCEK (Sosyal Hizmetler ve Cocuk Esirgeme Kurumu = Generaldirektorat für Soziale Dienste und Kinderschutz) derzeit 23 solche Unterkünfte und hat die Errichtung von weiteren zehn Häusern in Aussicht gestellt - und im Oktober 2007 zusätzlich eine von der EU finanziell unterstützte Telefon-Hotline installiert, welche Anrufe von bedrohten Frauen entgegen nimmt und die Opfer innerfamiliärer Gewalt an die zuständige Polizeistelle verweist sowie Anwälte und psychologische Fachpersonen vermittelt (vgl. UK Border Agency, a.a.O., S. 150, Rz. 22.47 und S. 160, Rz. 22.86). Daneben sind auch verschiedene spezifische Nichtregierungsorganisationen um eine Verbesserung der Stellung der Frau sowie um Unterstützung und Gewährung von Schutz an Opfer innerfamiliärer Gewalt bemüht (vgl. UK Border Agency, a.a.O., S. 162, Rz. 22.93, und S. 163 f., Rz. 22.99); sie arbeiten nach eigenen Angaben gut mit den staatlichen Stellen und den Polizeibehörden zusammen (vgl. U.S. Department of State, a.a.O., Kapitel "women"; vgl. auch Necla Kelek, Bittersüsse Heimat, Köln 2008, S. 123, wonach die in Diyarbakir domizilierte Frauenrechtsorganisation Ka-Mer mit Hilfe der Polizei und der Staatsanwaltschaft besonders gefährdete Frauen, in deren Fällen keine Vermittlung mit den sie verfolgenden Verwandten möglich ist, unter einer neuen Identität an einem anderen Ort in der Türkei ansiedelt). Schliesslich unterhält auch die Zeitung "Hurriyet" - in Kooperation mit staatlichen Stellen und teilweise finanziert von der EU - eine rund um die Uhr zugängliche, von sieben Psychologen und zwei Anwälten besetzte Telefon-Hotline (vgl. UK Border Agency, a.a.O., S. 151, Rz. 22.49).</w:t>
      </w:r>
    </w:p>
    <w:p>
      <w:r>
        <w:rPr>
          <w:b/>
        </w:rPr>
        <w:t>E. 4.3.5</w:t>
      </w:r>
    </w:p>
    <w:p>
      <w:r>
        <w:t>Nach dem Gesagten ist festzustellen, dass bei den türkischen Behörden in den vergangenen Jahren ein Umdenken in Bezug auf frauenspezifische Schutzanliegen begonnen hat und erste entsprechende Einrichtungen implementiert wurden; daneben bieten auch verschiedene nichtstaatliche Stellen betroffenen Frauen Unterstützung. Auch wenn die Umsetzung der staatlichen Programme nur langsam vorankommt und das Phänomen innerfamiliärer Gewalt bis hin zu Ehrenmorden nach wie vor virulent ist (vgl. dazu Amnesty International, Jahresreport 2008, &lt;http://thereport.amnesty.org/eng/regions/europe-and-central-asia/turkey&gt;abgerufen am 3.2.2009; UK Border Agency, a.a.O., S. 142, Rz. 22.07 und S. 149, Rz. 22.40), ist demnach davon auszugehen, dass sich die Beschwerdeführerin in der Türkei nicht in einer ausweglosen Situation befindet, mithin auf unter dem Sicherheitsaspekt valable innerstaatliche Angebote zurückgreifen kann. Daran ändern auch die von der Beschwerdeführerin auf Beschwerdeebene eingereichten Beweismittel im Zusammenhang mit ihren eigenen Erlebnissen und mit der Ermordung von Özlem Arslan beziehungsweise von Güldünya Töre nichts; wie das Bundesamt in der angefochtenen Verfügung zutreffend festgehalten hat, ist eine absolute staatliche Schutzfähigkeit von vornherein ausgeschlossen, weshalb massgeblich alleine die Frage sein kann, ob ein hoher Grad an künftiger Sicherheit für ein potentielles Opfer nach pflichtgemässem Ermessen angenommen werden kann. Diese Frage ist im vorliegenden Fall angesichts der bislang von den zuständigen Behörden, in Zusammenarbeit mit auf Frauenfragen spezialisierten Nichtregierungsorganisationen unternommenen Schritte zu bejahen. Die Beschwerdeführerin erhielt auf ihr Begehren hin jeweils von den Amtsstellen, Polizeiorganen, Gerichten und Frauenrechtsorganisationen adäquate Unterstützung, welche sie vor weiteren Übergriffen bewahrte; zur Vermeidung von Wiederholungen kann diesbezüglich auf die in oben stehender E. 4.1 zitierten Erwägungen des BFM in der Verfügung vom 11. September 2008 verwiesen werden. Die Vorbringen der Beschwerdeführerin vermögen demnach - wie die Vorinstanz zu Recht erwogen hat - den Anforderungen an eine Gefährdung im Sinne von Art. 3 AsylG nicht standzuhalten. Aufgrund der Akten sowie der vorliegenden Berichte ist sodann zwar offensichtlich, dass die Beschwerdeführerin mit ihren Kindern als von ihrem Ex-Ehemann und dessen Familie bedrohte Frau mit einschneidenden Einschränkungen in ihrer Lebensführung konfrontiert ist, kann sie sich doch namentlich nicht frei in der Öffentlichkeit bewegen. Diese schwierigen und für die Beschwerdeführerin zweifellos belastenden Lebensbedingungen sind indessen für die Frage der Flüchtlingseigenschaft nicht ausschlaggebend, sondern wären lediglich im Rahmen der Prüfung allfälliger Wegweisungshindernisse zu berücksichtigen (vgl. EMARK 1996 Nr. 1 E. 5d S. 7 ff.); diese Prüfung entfällt jedoch im Rahmen eines Auslandverfahrens, da sich die Frage der Anordnung der Wegweisung beziehungsweise deren Vollzuges von vornherein nicht stellt.</w:t>
      </w:r>
    </w:p>
    <w:p>
      <w:r>
        <w:rPr>
          <w:b/>
        </w:rPr>
        <w:t>E. 4.4</w:t>
      </w:r>
    </w:p>
    <w:p>
      <w:r>
        <w:t>Nach dem Gesagten ist zusammenfassend festzuhalten, dass der Beschwerdeführerin die Möglichkeit offen steht, innerhalb ihres Heimatstaates um Schutz vor den Behelligungen durch ihren Ex-Ehemann und dessen Familie nachzusuchen. Unter diesen Umständen hat die Vorinstanz der Beschwerdeführerin und ihren Kindern zu Recht die Erteilung einer Einreisebewilligung verweigert und das Asylgesuch abgewiesen.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Aus verwaltungsökonomischen Gründen wird in Anwendung von Art. 6 des Reglements vom 21. Februar 2008 über die Kosten und Entschädigungen vor dem Bundesverwaltungsgericht (VGKE, SR 173.320.2) auf die Erhebung von Verfahrenskosten verzichtet. Bei dieser Sachlage wird das Gesuch um Gewährung der unentgeltlichen Rechtspflege gemäss Art. 65 Abs. 1 VwVG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