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D-6834/2023 vom 10. Januar 2024</w:t>
      </w:r>
    </w:p>
    <w:p>
      <w:r>
        <w:t>Bundesverwaltungsgericht, 2024-01-10, DE</w:t>
      </w:r>
    </w:p>
    <w:p>
      <w:r>
        <w:rPr>
          <w:b/>
        </w:rPr>
        <w:t xml:space="preserve">Quelle: </w:t>
      </w:r>
      <w:r>
        <w:t>https://mcp.opencaselaw.ch/entscheid/bvger_D-6834_2023</w:t>
      </w:r>
    </w:p>
    <w:p>
      <w:r>
        <w:t>FR: TAF D-6834/2023 du 10 janvier 2024</w:t>
      </w:r>
    </w:p>
    <w:p>
      <w:r>
        <w:t>IT: TAF D-6834/2023 del 10 gennaio 2024</w:t>
      </w:r>
    </w:p>
    <w:p>
      <w:pPr>
        <w:pStyle w:val="Heading2"/>
      </w:pPr>
      <w:r>
        <w:t>Regeste</w:t>
      </w:r>
    </w:p>
    <w:p>
      <w:r>
        <w:t>Asyl und Wegweisung</w:t>
      </w:r>
    </w:p>
    <w:p>
      <w:pPr>
        <w:pStyle w:val="Heading2"/>
      </w:pPr>
      <w:r>
        <w:t>Erwägungen</w:t>
      </w:r>
    </w:p>
    <w:p>
      <w:r>
        <w:rPr>
          <w:b/>
        </w:rPr>
        <w:t>E. 1</w:t>
      </w:r>
    </w:p>
    <w:p>
      <w:r>
        <w:t>November 2023 sachgerecht und ausführlich anfechten konnte. In der Beschwerdeschrift wird nicht ausgeführt, welche ihn betreffende Beweis- mittel er im Ausland beschaffen und im vorliegenden Verfahren einreichen wolle. Das Gesuch um Gewährung einer Nachfrist gestützt auf Art. 110 Abs. 2 AsylG ist sodann abzuweisen.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1.4</w:t>
      </w:r>
    </w:p>
    <w:p>
      <w:r>
        <w:t>Zur vom Beschwerdeführer beantragten Erteilung einer Nachfrist «zur Verbesserung der Beschwerde» (vgl. Rechtsbegehren 5) ist festzustellen, dass er respektive seine Rechtsvertreterin die Verfügung des SEM vom</w:t>
      </w:r>
    </w:p>
    <w:p>
      <w:r>
        <w:rPr>
          <w:b/>
        </w:rPr>
        <w:t>E. 2</w:t>
      </w:r>
    </w:p>
    <w:p>
      <w:r>
        <w:t>Die Kognition des Bundesverwaltungsgerichts und die zulässigen Rügen</w:t>
      </w:r>
    </w:p>
    <w:p>
      <w:r>
        <w:t>D-6834/2023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Streitgegenstand bildet vorliegend die Frage, ob die Vorinstanz zu Recht die Flüchtlingseigenschaft des Beschwerdeführers verneint und sein Asyl- gesuch abgelehnt hat.</w:t>
      </w:r>
    </w:p>
    <w:p>
      <w:r>
        <w:rPr>
          <w:b/>
        </w:rPr>
        <w:t>E. 5.1</w:t>
      </w:r>
    </w:p>
    <w:p>
      <w:r>
        <w:t>Der Beschwerdeführer beantragte subeventualiter die Rückweisung der Sache an die Vorinstanz (vgl. Rechtsbegehren 3), da der rechtserheb- liche Sachverhalt unrichtig und unvollständig abgeklärt, die vorliegenden Tatsachen und Beweismittel unrichtig sowie unvollständig gewürdigt sowie das Vorliegen einer flüchtlingsrechtlich relevanten aktuellen und zukünfti- gen Verfolgung zu Unrecht verneint worden sei. Zudem sei seine politische Einstellung und diejenige seiner nahen Verwandten unberücksichtigt ge- blieben. Die formellen Rügen sind zuerst zu beurteilen, da sie geeignet sein könnten,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t>D-6834/2023 Seite 7</w:t>
      </w:r>
    </w:p>
    <w:p>
      <w:r>
        <w:rPr>
          <w:b/>
        </w:rPr>
        <w:t>E. 5.2.2</w:t>
      </w:r>
    </w:p>
    <w:p>
      <w:r>
        <w:t>Die vorgebrachte Rüge des unzureichend respektive falsch erstellten Sachverhalts erweist sich als unbegründet. Die Vorinstanz hat den relevan- ten Sachverhalt hinreichend erstellt, zu den erheblichen Punkten zahlrei- che Fragen gestellt und anschliessend – mit Verweis auf die vorinstanzli- che Verfügung – ausführlich begründet, weshalb sie zum Schluss gekom- men ist, dass die türkischen Behörden tätig werden würden, sollte der Sohn des Mörders des Vaters des Beschwerdeführers letzteren tatsächlich mit dem Tod bedrohen und dass im vorliegenden Fall keine asylrechtlich rele- vante Verfolgung des Beschwerdeführers vorliegt. Aus den Erwägungen ist klar ersichtlich, von welchen Überlegungen sie sich leiten liess und sie hat die Verfügung inhaltlich so verfasst, dass sie der Beschwerdeführer sach- gerecht anfechten konnte (vgl. angefochtene Verfügung, SEM-Akte A22/9, S. 4-6).</w:t>
      </w:r>
    </w:p>
    <w:p>
      <w:r>
        <w:rPr>
          <w:b/>
        </w:rPr>
        <w:t>E. 5.3</w:t>
      </w:r>
    </w:p>
    <w:p>
      <w:r>
        <w:t>Das Gericht kommt zum Schluss, dass sich die formelle Rüge als un- begründet erweist.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Eine Verfolgung durch nicht-staatliche Akteure kann dann flüchtlings- rechtlich relevant sein, wenn es der betroffenen Person nicht möglich ist,</w:t>
      </w:r>
    </w:p>
    <w:p>
      <w:r>
        <w:t>D-6834/2023 Seite 8 im Heimatstaat adäquaten Schutz zu finden. Die Flüchtlingseigenschaft setzt jedoch voraus, dass der geltend gemachten Verfolgung oder der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ihrem Entscheid zum Schluss, dass die Schilde- rungen des Beschwerdeführers zum Mord an seinem Vater im September 2018 durch den Dorfschützer respektive Onkel zwar glaubhaft ausgefallen seien, der Täter jedoch zu einer fünfundzwanzigjährigen Haft verurteilt wor- den sei und sich zurzeit in Haft befinde. Hingegen erscheine es zweifelhaft, dass der Sohn des Mörders 2022 den Beschwerdeführer kurz vor seiner Ausreise in D._______ aufgesucht haben soll, um ihn möglicherweise auch umzubringen. Bei dessen lediglich mutmasslichem Motiv, unter Druck den Rückzug der Anzeige gegen dessen verurteilten Vater zu erwirken, handle es sich um eine Bedrohung einer Drittperson aus dem familiären Umfeld. Angesichts dessen, dass der Mörder des Vaters des Beschwerdeführers zu einer langen Haftstrafe verurteilt worden sei, könne davon ausgegangen werden, dass allfällige Bedrohungen durch den Sohn ebenfalls durch die türkischen Behörden verfolgt würden. Dementsprechend sei die Schutzwil- ligkeit und Schutzfähigkeit des türkischen Staatsapparates vorhanden. Überdies könne nicht mit Sicherheit ausgeschlossen werden, dass der</w:t>
      </w:r>
    </w:p>
    <w:p>
      <w:r>
        <w:t>D-6834/2023 Seite 9 Sohn des Onkels sich rein zufällig auf dem Parkplatz des Spitals aufgehal- ten habe und ihn (den Beschwerdeführer) nicht habe mit dem Tod bedro- hen wollen. Seine dreimonatige Inhaftierung im Jahr 2014 sowie die in die- sem Zusammenhang erwähnten Übergriffe seien zwar glaubhaft. Da die- ses Ereignis zum Zeitpunkt seiner Ausreise aus der Türkei acht Jahre zu- rückgelegen habe, bestehe kein Kausalzusammenhang mit seiner Aus- reise. Diesbezüglich fehle es zum heutigen Zeitpunkt an der entsprechen- den Asylrelevanz.</w:t>
      </w:r>
    </w:p>
    <w:p>
      <w:r>
        <w:rPr>
          <w:b/>
        </w:rPr>
        <w:t>E. 7.2</w:t>
      </w:r>
    </w:p>
    <w:p>
      <w:r>
        <w:t>Der Beschwerdeführer entgegnete, die Vorinstanz habe zu Unrecht die Schutzwilligkeit und -fähigkeit des türkischen Staates verneint und auf die Glaubhaftigkeitsprüfung verzichtet. Seinen ausführlichen Schilderungen und den eingereichten Beweismitteln sei zu entnehmen, dass er und zahl- reiche seiner Familienangehörigen in legalen kurdischen Parteien sowie der PKK politisch äusserst aktiv seien. Demgegenüber würden die Ange- hörigen der mütterlichen Seite seines Vaters seit den 1990er-Jahren für den türkischen Staat arbeiten, wobei der Onkel seines Vaters und dessen männliche Nachkommen als Dorfschützer tätig seien. Trotz der kriminellen Vergangenheit des Onkels arbeite dieser inoffiziell für die Sicherheitsbe- hörden. Aus dem Verhandlungsprotokoll den Onkel betreffend, gehe her- vor, dass dieser auf der Seite des türkischen Staates stehe und versuche, den Mord mit politischen Aktivitäten der Familie des Beschwerdeführers zu rechtfertigen. Deshalb sei es nicht möglich, wirksamen Schutz bei den tür- kischen Behörden zu erhalten. Seit dem Tod des Vaters könnten der Be- schwerdeführer und seine Brüder nicht mehr in der Heimatregion leben, da sie beschuldigt würden, die PKK zu unterstützen. Mit dem Wegzug würden sie versuchen, die durch den Tod des Vaters entstandene Blutfehde zu be- enden. Da die Blutfehden oft in ländlichen Gebieten stattfinden würden, wo der staatliche Schutz nicht greife, würden die meisten Betroffenen in Grossstädte oder ins Ausland ziehen. In seinem Fall könne der Beschwer- deführer wegen seiner Nähe zur PKK nicht auf staatliche Hilfe hoffen. Zu- dem sei er seit 2014 mehrmals von Dorfschützern angegriffen und dabei schwer verletzt worden. Ferner habe er an seiner Anhörung verschwiegen, dass er nach Beendigung des Friedensprozesses als Miliz für die PKK tätig gewesen sei. Sodann sei einer seiner Brüder zu einer mehrjährigen, poli- tisch motivierten Haftstrafe verurteilt worden. Ausserdem habe er kürzlich erfahren, dass sein Cousin verschleppt worden und nun bereit sei, mit den türkischen Behörden zusammen zu arbeiten, wobei er (der Beschwerde- führer) fürchte, dass sein Name genannt werde.</w:t>
      </w:r>
    </w:p>
    <w:p>
      <w:r>
        <w:t>D-6834/2023 Seite 10</w:t>
      </w:r>
    </w:p>
    <w:p>
      <w:r>
        <w:rPr>
          <w:b/>
        </w:rPr>
        <w:t>E. 8.1</w:t>
      </w:r>
    </w:p>
    <w:p>
      <w:r>
        <w:t>Das Gericht kommt im Einklang mit der Vorinstanz zum Schluss, dass die Vorbringen des Beschwerdeführers asylrechtlich nicht relevant sind. Hierzu ist vollumfänglich auf die vorinstanzliche Verfügung zu verweisen, in welcher überzeugend dargelegt wurde, dass seine geltend gemachten Fluchtgründe den Anforderungen an Art. 3 AsylG nicht genügen. Seine er- littene Verhaftung im Jahr 2014 weist keinen Kausalzusammenhang mit seiner Ausreise auf und, entgegen seiner Behauptung, ist die Schutzwillig- keit und -fähigkeit des türkischen Staates vorhanden, zumal der Mörder seines im September 2018 ermordeten Vaters zu einer langjährigen Haft- strafe verurteilt wurde und nach wie vor in Haft sitzt (vgl. SEM-Akten A16/16, F83-86 und angefochtene Verfügung SEM-Akte A22/9, S. 5). Seine Befürchtung, vom Sohn des Mörders ebenfalls umgebracht zu wer- den, basiert vielmehr auf Vermutungen als auf einer konkreten Bedrohung. In diesem Zusammenhang und bezüglich der geltend gemachten Blut- fehde ist ebenfalls auf die vorhandene Schutzfähigkeit respektive den Schutzwillen des türkischen Staates zu verweisen. Ferner gehen seine Probleme bei der Arbeitssuche in ihrer Intensität nicht über die Nachteile hinaus, welchen ein Grossteil der kurdischen Bevölkerung in der Türkei ausgesetzt ist und führen entsprechend nicht zur Flüchtlingseigenschaft. Hierzu ist festzustellen, dass praxisgemäss hohe Anforderungen für die An- nahme einer Kollektivverfolgung gestellt werden (vgl. BVGE 2014/32 E. 6.1; 2013/12 E. 6), die im Falle der Kurden in der Türkei – auch unter Berücksichtigung der politischen Entwicklungen – nicht als erfüllt zu erach- ten sind (vgl. hierzu etwa die Urteile des BVGer D-2424/2021 vom 9. Mai 2022 E. 6.2; E-3917/2021 vom 11. Januar 2022 E. 6.3; D-2759/-2020 vom 29. September 2021 E. 7.2; D-36/2018 vom 12. Oktober 2020 E. 6.2). Schliesslich gelang es dem Beschwerdeführer nicht, glaubhaft auszufüh- ren, dass er wegen seiner bei der PKK aktiven Verwandten oder dem in- haftierten Bruder einer Reflexverfolgung ausgesetzt wäre. Dafür spricht ne- ben dem Umstand, dass seine Brüder nach wie vor unbehelligt in der Tür- kei leben, auch die Tatsache, dass er problemlos und legal über den Luft- weg aus der Türkei ausreisen konnte (vgl. SEM-Akte A16/16, F55-59, F47). Seine erstmals auf Beschwerdeebene vorgebrachte, jedoch nicht weiter ausgeführte Tätigkeit bei der Miliz, wirkt nachgeschoben und ist als un- glaubhaft zu werten (vgl. Beschwerde, S. 12, Punkt 19). Ebenfalls ist nicht ersichtlich, inwiefern er wegen seines inhaftierten Bruders Nachteile erfah- ren haben soll. Schliesslich wurde auch seine Befürchtung, vom festge- nommenen Cousin verraten zu werden, weder begründet noch geht eine solche anhand des eingereichten Beweismittels vor (vgl. SEM-Akte A14/11, F5.01; Beschwerde S. 12, Punkt 21).</w:t>
      </w:r>
    </w:p>
    <w:p>
      <w:r>
        <w:t>D-6834/2023 Seite 11</w:t>
      </w:r>
    </w:p>
    <w:p>
      <w:r>
        <w:rPr>
          <w:b/>
        </w:rPr>
        <w:t>E. 8.2</w:t>
      </w:r>
    </w:p>
    <w:p>
      <w:r>
        <w:t>Nach dem Gesagten ist zusammenfassend festzustellen, dass der Be- schwerdeführer die Flüchtlingseigenschaft nicht erfüllt. Das SEM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D-6834/2023 Seite 12</w:t>
      </w:r>
    </w:p>
    <w:p>
      <w:r>
        <w:rPr>
          <w:b/>
        </w:rPr>
        <w:t>E. 10.3.3</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w:t>
      </w:r>
    </w:p>
    <w:p>
      <w:r>
        <w:rPr>
          <w:b/>
        </w:rPr>
        <w:t>E. 10.3.5</w:t>
      </w:r>
    </w:p>
    <w:p>
      <w:r>
        <w:t>Sodann ergeben sich weder aus den Aussagen des Beschwerde- führers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D-6834/2023 Seite 13 festgestellt, ist – unter Vorbehalt von Art. 83 Abs. 7 AIG – die vorläufige Aufnahme zu gewähren.</w:t>
      </w:r>
    </w:p>
    <w:p>
      <w:r>
        <w:rPr>
          <w:b/>
        </w:rPr>
        <w:t>E. 10.4.2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anders als die Pro- vinzen Hakkari und Sirnak (zu den Letzteren vgl. BVGE 2013/2 E. 9.6) so- wie der Entwicklungen nach dem Militärputschversuch im Juli 2016 ist ge- mäss konstanter Praxis nicht von einer Situation allgemeiner Gewalt oder bürgerkriegsähnlichen Verhältnissen in der Türkei – auch nicht für Angehö- rige der kurdischen Ethnie – auszugehen (vgl. statt vieler: Urteile des BVGer E-2377/2018 vom 27. August 2019 E. 8.4.1; D-8410/2015 vom 27. Juni 2019 E. 7.4 und D-3140/2023 vom 28. September 2023 E. 8.3.1).</w:t>
      </w:r>
    </w:p>
    <w:p>
      <w:r>
        <w:rPr>
          <w:b/>
        </w:rPr>
        <w:t>E. 10.4.3</w:t>
      </w:r>
    </w:p>
    <w:p>
      <w:r>
        <w:t>Die Vorinstanz hat zu Recht in der angefochtenen Verfügung darauf hingewiesen, dass die Zumutbarkeit des Vollzugs der Wegweisung in den Südosten der Türkei – worunter auch die Herkunftsregion des Beschwer- deführers Sirnak fällt – aufgrund der aktuellen Lage individuell beurteilt werden muss. Der Beschwerdeführer hat sich seit 2015 hauptsächlich in Istanbul (in verschiedenen Landkreisen) aufgehalten und war wegen sei- ner medizinischen Behandlung in mehreren Städten und danach eine Zeit lang in Antalya (vgl. auch SEM-Akte A16/16 F8; angefochtene Verfügung, SEM-Akte A22/9, S. 6). Er verfügt entsprechend über innerstaatliche Fluchtalternativen. Ferner ist auszuführen, dass keine weiteren individuel- len Gründe gegen einen Vollzug der Wegweisung sprechen. Er verfügt ne- ben einem gymnasialen Abschluss über mehrjährige Arbeitserfahrungen in verschiedenen Bereichen als (…), in der (…), als (…), als (…) und (…) sowie zuletzt als (…) in der Schwarzmeerregion in den Städten Istanbul, Gaziantep, Diyarbakir, Ankara und Antalya, wo teilweise auch seine Ge- schwister wohnen, welche ihn bei einer Reintegration unterstützen könnten (vgl. SEM-Akte A16/16 F8-11, F31-38, F47). Vor diesem Hintergrund er- scheint es unwahrscheinlich, dass er bei seiner Rückkehr in eine existenz- bedrohende Lage geraten würde.</w:t>
      </w:r>
    </w:p>
    <w:p>
      <w:r>
        <w:rPr>
          <w:b/>
        </w:rPr>
        <w:t>E. 10.4.4</w:t>
      </w:r>
    </w:p>
    <w:p>
      <w:r>
        <w:t>Auch aus gesundheitlicher Sicht erweist sich ein Wegweisungsvoll- zug als zumutbar. Seinen Aussagen zufolge habe er trotz seines erlittenen Arbeitsunfalls 2017 bis zu seiner Ausreise arbeiten können. Gemäss einer ärztlichen Konsultation in der Schweiz sei keine Operation für seine (…) und den (…) Problemen notwendig. Ferner habe er seine psychischen Probleme bereits in der der Türkei behandeln lassen (vgl. SEM-Akte</w:t>
      </w:r>
    </w:p>
    <w:p>
      <w:r>
        <w:t>D-6834/2023 Seite 14 A16/16, 36-39, F64-69). Somit ist nicht davon auszugehen, dass es sich bei seinen Leiden um gravierende medizinische Gründe handelt, welche nicht auch in der Türkei behandelt werden und einem Vollzug der Wegwei- sung entgegenstehen könnten. Wie bereits von der Vorinstanz ausgeführt, besteht im Rahmen des Rückkehrprogramms die Möglichkeit, medizini- sche Rückkehrhilfe zu beantragen (vgl. angefochtene Verfügung, SEM- Akte A22/9, S. 7).</w:t>
      </w:r>
    </w:p>
    <w:p>
      <w:r>
        <w:rPr>
          <w:b/>
        </w:rPr>
        <w:t>E. 10.4.5</w:t>
      </w:r>
    </w:p>
    <w:p>
      <w:r>
        <w:t>Nach dem Gesagten ist der Vollzug der Wegweisung auch zumut- bar.</w:t>
      </w:r>
    </w:p>
    <w:p>
      <w:r>
        <w:rPr>
          <w:b/>
        </w:rPr>
        <w:t>E. 10.5</w:t>
      </w:r>
    </w:p>
    <w:p>
      <w:r>
        <w:t>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Die Gesuche um Gewährung der unentgeltli- chen Prozessführung und um amtliche Rechtsverbeiständung sind deshalb ungeachtet der geltend gemachten (jedoch nicht belegten) prozessualen Bedürftigkeit abzuweisen. Der Antrag auf den Verzicht der Erhebung eines Kostenvorschusses wird mit dem vorliegenden Urteil gegenstandslos.</w:t>
      </w:r>
    </w:p>
    <w:p>
      <w:r>
        <w:rPr>
          <w:b/>
        </w:rPr>
        <w:t>E. 12.2</w:t>
      </w:r>
    </w:p>
    <w:p>
      <w:r>
        <w:t>Bei diesem Ausgang des Verfahrens sind die Kosten von Fr. 750.– dem Beschwerdeführer aufzuerlegen (Art. 1–3 des Reglements vom 21. Februar 2008 über die Kosten und Entschädigungen vor dem Bundes- verwaltungsgericht [VGKE, SR 173.320.2]; Art. 63 Abs. 1 VwVG).</w:t>
      </w:r>
    </w:p>
    <w:p>
      <w:r>
        <w:t>D-6834/2023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