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D-6830/2006 vom 12. Februar 2008</w:t>
      </w:r>
    </w:p>
    <w:p>
      <w:r>
        <w:t>Bundesverwaltungsgericht, 2008-02-12, FR</w:t>
      </w:r>
    </w:p>
    <w:p>
      <w:r>
        <w:rPr>
          <w:b/>
        </w:rPr>
        <w:t xml:space="preserve">Quelle: </w:t>
      </w:r>
      <w:r>
        <w:t>https://mcp.opencaselaw.ch/entscheid/bvger_D-6830_2006</w:t>
      </w:r>
    </w:p>
    <w:p>
      <w:r>
        <w:t>FR: TAF D-6830/2006 du 12 février 2008</w:t>
      </w:r>
    </w:p>
    <w:p>
      <w:r>
        <w:t>IT: TAF D-6830/2006 del 12 febbraio 2008</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les persécutions invoquées ne sont pas pertinentes pour la reconnaissance de la qualité de réfugié au sens l'art. 3 LAsi. En effet, A._______ et B._______ ont allégué avoir été victimes de menaces téléphoniques à la suite de l'assassinat de leur fils. Or ces préjudices n'ont pas pour origine un des motifs exhaustivement énumérés à l'art. 3 LAsi, à savoir la race, la religion, la nationalité, l'appartenance à un groupe social déterminé ou des opinions politiques, mais sont dus uniquement à un problème familial (cf. pv auditions cantonales p. 4 et mémoire de recours p. 2, où les intéressés ont déclaré qu'ils soupçonnaient l'ex-mari de la seconde épouse de leur fils décédé, lequel avait "juré de tuer cette femme et de les tuer tous jusqu'à ce qu'il arrive à son but"). Quoi qu'il en soit, il sied de relever que les persécutions au sens de l'art. 3 LAsi, qu'elles émanent d'agents étatiques ou quasi-étatiques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181ss, en particulier consid. 10.3.2).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Or, force est de constater, comme l'a relevé l'ODM à juste titre, qu'une protection adéquate existait au Kosovo pour les recourants avant leur départ du pays. En effet, il ressort du dossier qu'une enquête a été ouverte à la suite de l'assassinat de leur fils et que la procédure y relative est toujours en cours aujourd'hui, en dépit du fait qu'aucun suspect n'a pu être arrêté et qu'aucun témoin ni aucune piste n'ont permis d'éclaircir le dossier. S'agissant des menaces dont ils ont été victimes, la police a considéré que leurs craintes étaient fondées mais n'a pas été en mesure d'en retrouver le ou les auteurs. Le dossier ne contient toutefois aucune indice que celle-ci aurait refusé de leur accorder sa protection. Ainsi, il est permis de conclure que les recourants avaient la possibilité de solliciter la protection de la police locale ou des autorités mises en places par la MINUK (KFOR), lesquelles sont à même de les protéger. En effet, celles-ci ne soutiennent ni ne tolèrent, pas plus qu'elles n'encouragent la commission d'actes délictueux. Par ailleurs, les intéressés avaient à l'époque et ont encore aujourd'hui la possibilité d'échapper aux menaces dont ils étaient l'objet en s'établissant dans une autre partie du Kosovo.</w:t>
      </w:r>
    </w:p>
    <w:p>
      <w:r>
        <w:rPr>
          <w:b/>
        </w:rPr>
        <w:t>E. 3.1</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w:t>
      </w:r>
    </w:p>
    <w:p>
      <w:r>
        <w:rPr>
          <w:b/>
        </w:rPr>
        <w:t>E. 4.2</w:t>
      </w:r>
    </w:p>
    <w:p>
      <w:r>
        <w:t>Les recourants n'étant pas titulaires d'une autorisation de séjour ou d'établissement (art. 32 let. a de l'ordonnance 1 du 11 août 1999 sur l'asile relative à la procédure [OA 1], RS 142.311) et aucune des autres hypothèses visées par la disposition en cause n'étant réalisée, le Tribunal est tenu de confirmer, dans son principe, la décision de renvoi prononcée par l'ODM à leur égard.</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A titre préliminaire, il convient de noter que les trois conditions posées par l'art. 83 al. 2 à 4 LSEE, empêchant l'exécution du renvoi (illicéité, inexigibilité ou impossibilité) sont de nature alternative : il suffit que l'une d'elles soit réalisée pour que le renvoi soit inexécutable.</w:t>
      </w:r>
    </w:p>
    <w:p>
      <w:r>
        <w:rPr>
          <w:b/>
        </w:rPr>
        <w:t>E. 6.2</w:t>
      </w:r>
    </w:p>
    <w:p>
      <w:r>
        <w:t>En l'occurrence, c'est sur la question de l'exigibilité de l'exécution du renvoi que l'autorité de céans portera son examen.</w:t>
      </w:r>
    </w:p>
    <w:p>
      <w:r>
        <w:rPr>
          <w:b/>
        </w:rPr>
        <w:t>E. 6.3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6.4</w:t>
      </w:r>
    </w:p>
    <w:p>
      <w:r>
        <w:t>En l'espèce, le Tribunal constate d'emblée que l'état de santé de A._______ est très grave. En effet, selon les derniers certificats médicaux versés en cause, il se trouve en phase terminale d'une cirrhose hépatique avec des troubles hémorragiques récurrents. De plus, il souffre d'une hypertension artérielle d'évolution chronique, d'un raccourcissement de 8 cm du MID avec ankylose de l'articulation de la hanche, de troubles rhumatismaux généralisés, d'un état dépressif chronique et d'alcoolo-tabagisme. L'arrêt de son traitement (Aténotol, Olfen, Légalon, inhibiteurs de la pompe à protons [IPP], Paracétamol, Tramadol et Antabuse) comporte un risque vital. Par ailleurs, son médecin a souligné qu'il était difficilement transportable. A cela s'ajoute que son épouse présente également de nombreux problèmes de santé, tant psychiques (cf. certificat médical du 19 novembre 2007, dont il ressort qu'elle souffre d'un état dépressif moyen) que physiques (cf. certificats médicaux des 27 novembre et 4 décembre 2007, dont il ressort qu'elle souffre d'une hypertension artérielle d'évolution chronique, de troubles rhumatismaux dégénératifs à un stade avancé, de troubles allergiques et d'obésité), nécessitant un traitement médicamenteux (Blopress, Xanax, Fluoxétine, Cortinasal, anti-histaminiques et Olfen accompagné par un inhibiteur de la pompe à protons [IPP]) ainsi qu'un suivi psycho-thérapeutique. Par ailleurs, elle présente des idées suicidaires avec scénario (se jeter sous une voiture). La poursuite de son traitement est indispensable, afin d'éviter une péjoration de ses pathologies et de prévenir le risque suicidaire. En outre, il convient de tenir compte du fait que B._______ serait confrontée à d'importantes difficultés en cas de retour dans sa province d'origine, notamment dans la recherche d'un logement et d'un emploi, au vu du contexte socio-économique difficile y prévalant. Il est en effet patent que la recourante, qui n'a pas de véritable formation (cf. pv audition CEP p. 2, où elle a indiqué être femme au foyer et agricultrice), ne serait pas en mesure d'exercer une activité professionnelle lui permettant de subvenir à ses besoins vitaux et de financer un encadrement thérapeutique adéquat (à supposer que celui-ci soit disponible sur place), eu égard à son état de santé et à son âge (59 ans).</w:t>
      </w:r>
    </w:p>
    <w:p>
      <w:r>
        <w:rPr>
          <w:b/>
        </w:rPr>
        <w:t>E. 6.5</w:t>
      </w:r>
    </w:p>
    <w:p>
      <w:r>
        <w:t>En conséquence, le Tribunal considère que l'exécution du renvoi des recourants, étant de nature à les mettre concrètement en danger, n'est pas raisonnablement exigible dans les circonstances décrites. Il convient donc de les mettre au bénéfice de l'admission provisoire, en principe d'une durée d'un an, renouvelable si nécessaire.</w:t>
      </w:r>
    </w:p>
    <w:p>
      <w:r>
        <w:rPr>
          <w:b/>
        </w:rPr>
        <w:t>E. 7</w:t>
      </w:r>
    </w:p>
    <w:p>
      <w:r>
        <w:t>Compte tenu de ce qui précède, le recours, en tant qu'il porte sur l'exécution du renvoi, doit être admis et la décision attaquée annulée sur ce point.</w:t>
      </w:r>
    </w:p>
    <w:p>
      <w:r>
        <w:rPr>
          <w:b/>
        </w:rPr>
        <w:t>E. 8.1</w:t>
      </w:r>
    </w:p>
    <w:p>
      <w:r>
        <w:t>Les intéressés ayant succombé sur la question de la reconnaissance de la qualité de réfugié et de l'asile et sur le principe du renvoi, il y a lieu de mettre les frais de la procédure (Fr. 600.--) à raison de moitié à leur charge, conformément à l'art. 63 al. 1 PA.</w:t>
      </w:r>
    </w:p>
    <w:p>
      <w:r>
        <w:rPr>
          <w:b/>
        </w:rPr>
        <w:t>E. 8.2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9</w:t>
      </w:r>
    </w:p>
    <w:p>
      <w:r>
        <w:t>Dans le cas des recourants, qui ont eu partiellement gain de cause, il y a lieu de leur attribuer des dépens réduits. En l'absence de note de frais, le Tribunal les fixe ex aequo et bono à Fr. 150.--,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