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D-6823/2014 vom 13. März 2015</w:t>
      </w:r>
    </w:p>
    <w:p>
      <w:r>
        <w:t>Bundesverwaltungsgericht, 2015-03-13, DE</w:t>
      </w:r>
    </w:p>
    <w:p>
      <w:r>
        <w:rPr>
          <w:b/>
        </w:rPr>
        <w:t xml:space="preserve">Quelle: </w:t>
      </w:r>
      <w:r>
        <w:t>https://mcp.opencaselaw.ch/entscheid/bvger_D-6823_2014</w:t>
      </w:r>
    </w:p>
    <w:p>
      <w:r>
        <w:t>FR: TAF D-6823/2014 du 13 mars 2015</w:t>
      </w:r>
    </w:p>
    <w:p>
      <w:r>
        <w:t>IT: TAF D-6823/2014 del 13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 Soweit den Wegweisungsvollzug betreffend, kann zudem die Unangemessenheit gerügt werden (Art. 37 VGG i.V.m. Art. 49 VwVG; vgl. Urteil des BVGer D-3622/2011 vom 8. Oktober 2014 E. 5, zur Publikation vorgesehen).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unter Verweis auf die entsprechenden Protokollstellen aus, die Zeitangaben respektive die Anzahl bezüglich der Tage im Gefängnis sowie der Verhöre, die dort stattgefunden hätten, seien verwirrend und inkonsistent. Beispielsweise habe sich der Beschwerdeführer während der BzP und der beiden Anhörungen unterschiedlich zum Zeitpunkt des ersten Verhörs geäussert. Sodann habe er unterschiedliche Angaben zur Haftdauer gemacht (vgl. act A10/13 S. 6; A12/10 S. 4, 7). Auch die Ausführungen zur angedrohten Vergewaltigung würden in Bezug auf den Ereignistag und den Ablauf nicht übereinstimmen. Sodann würden die Schilderungen divergieren, wie er zum Büro gekommen sei, wo ihm die Bedingungen der Haftentlassung mitgeteilt worden seien. Ausserdem habe er anlässlich der BzP nicht erwähnt, dass er Berichte habe verfassen müssen und auch die Daten in Bezug auf die Abgabe der Kontrollunterschrift würden nicht übereinstimmen. Schliesslich äussere er sich auch widersprüchlich zur Zeitspanne, während er sich bei seinem Freund aufgehalten habe. Diese nicht abschliessend aufgezählten Widersprüche würden klar darauf hindeuten, dass sich die Ereignisse nicht so zugetragen hätten, wie geltend gemacht werde. Es sei davon auszugehen, dass sich der Beschwerdeführer auf einen konstruierten Sachverhalt beziehe. Seine Vorbringen hiel­ten den Anforderungen an die Glaubhaftmachung gemäss Art. 7 AsylG nicht stand. Die Asylrelevanz seiner Vorbringen müsse demnach nicht geprüft wer­den. Der Beschwerdeführer erfülle die Flüchtlingseigenschaft nicht, so dass das Asylgesuch abzulehnen sei.</w:t>
      </w:r>
    </w:p>
    <w:p>
      <w:r>
        <w:rPr>
          <w:b/>
        </w:rPr>
        <w:t>E. 4.2</w:t>
      </w:r>
    </w:p>
    <w:p>
      <w:r>
        <w:t>Der Beschwerdeführer entgegnete der Verfügung des BFM in der Be­schwerde, dass er seine Vorbringen in Bezug auf die Haft und die Folter im Kern und in den wesentlichen Punkten in allen drei Befragungen übereinstimmend geschildert habe. Es sei zu berücksichtigen, dass die BzP und die Anhörungen mehrere Jahre nach den geschilderten Ereignissen stattgefunden hätten, so dass eine vollkommene Übereinstimmung der Erzählungen, insbesondere hinsichtlich der Details zum genauen Ablauf der Tage während der Haft oder der Misshandlungen, nicht möglich und realistisch sei. Es sei schwierig für ihn, über die Ereignisse zu sprechen, da er versucht habe, diese zu vergessen oder zu verdrängen. Er habe anlässlich der BzP und der Anhörungen viele Details geschildert, welche die Vorinstanz bei der Beurteilung der Glaubhaftigkeit zu wenig berücksichtigt habe. Er trage noch heute Spuren der Misshandlungen an seinem Körper. Er habe in seinem Heimatland von den sudanesischen Behörden ausgehende ernsthafte Nachteile im Sinne des Asylgesetzes erlitten. Die JEM und ihre Mitglieder würden heute ebenso verfolgt wie im Jahr 2008 im Zeitpunkt seiner Ausreise. Er könne im Sudan keinen Schutz vor dieser Verfolgung finden, deshalb würden ihm bei einer Rückkehr in den Sudan dieselben Nachteile, die er bereits erlitten habe, drohen.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Dem Beschwerdeführer ist zunächst beizupflichten, dass die geltend gemachten Ereignisse im Zeitpunkt der Befragungen bereits mehrere Jahre zurücklagen. Angesichts des Zeitablaufs erscheinen die Widersprüche in Bezug auf den Zeitpunkt des ersten Verhörs oder der Anzahl Hafttage wenig gewichtig. Auf der anderen Seite vermochte der Beschwerdeführer die Verhaftung und die Verhöre bereits anlässlich der BzP sehr detailliert und lebensnah zu schildern (vgl. act. A6/12 S. 8; A10/13 S. 4 f.). Es lassen sich auch zahlreiche Realkennzeichen erkennen. So beschrieb er den Ort, an dem er festgehalten worden sei, als älteres und relativ flaches Gebäude an einem abgelegenen, ruhigen Ort, wo kein Strassenlärm zu hören gewesen sei (vgl. act. A10/13 S. 6, 10; A12/10 S. 3). Der Beschwer­deführer schilderte zudem die Schläge, die er, nachdem er auf einen Stuhl gefesselt worden sei, mit einem harten Gegenstand respektive einem Pistolengriff auf die Stirn erhalten habe, gleichbleibend (vgl. act. A6/12 S. 8; A10/13 S. 5). Ebenfalls berichten verschiedene Nichtregierungsorganisationen, dass die sudanesischen Sicherheitsbehörden mit willkürlichen Verhaftungen und Folterungen unbeteiligter Personen auf die Aktivitäten der JEM vom 10. Mai 2008 reagiert hätten (vgl. Human Rights Watch, Crackdown in Khartoum, Mass Arrests, Torture, and Disappearances since the May 10 Attack &lt; http://www.hrw.org/sites/default/files/reports/darfur0608_1.pdf &gt;; Amne­sty International, Fear of torture or ill-treatment/ fear of extrajudicial execution/ fear of enforced disappearance &lt; http://www2.amnesty.se/uaonnet.nsf/dfab8d7f58eec102c1257011006466e1/a31a031fc84acd1cc125745500305327/$FILE/15402608.pdf &gt;, beide abgerufen am 2. März 2015). Sodann stützen die eingereichten Fotografien, auf welchen unter anderem eine Narbe auf der Stirn zu erkennen ist, die Vorbringen des Beschwerdeführers.</w:t>
      </w:r>
    </w:p>
    <w:p>
      <w:r>
        <w:rPr>
          <w:b/>
        </w:rPr>
        <w:t>E. 5.3</w:t>
      </w:r>
    </w:p>
    <w:p>
      <w:r>
        <w:t>Zweifel entstehen jedoch in Bezug auf die Art der erlebten Misshandlungen wie auch die Umstände der Freilassung. So muss sich der Beschwerdeführer vorhalten lassen, dass er anlässlich der BzP die Schläge sehr detailliert schilderte, jedoch ohne ersichtlichen Grund den Schlafentzug beziehungsweise die Folter durch Wasser und die angedrohte Vergewaltigung ganz unerwähnt liess. Vielmehr führte er in der BzP nach der Beschreibung der Schläge und deren gesundheitlichen Folgen - er habe noch heute auf einem Auge Sehprobleme - aus, jedes Verhör sei gleich abgelaufen. Dieses Aussageverhalten lässt sich auch nicht allein mit der traumatischen Erfahrung solcher Übergriffe erklären. Zudem sind seine Ausführungen darüber, was sich nach der Haft abgespielt hat, unsubstanziiert und widersprüchlich. Beispielsweise brachte er vor, nach seiner Freilassung ins Spital gegangen zu sein (vgl. act. A10/13 S. 7), während er in der Beschwerde angab, keinen Arzt aufgesucht zu haben. Zudem stimmen die Daten, an welchen er angeblich zur Kontrollunterschrift habe erscheinen müssen, nicht überein. Während der BzP brachte er vor, dass er am (...). Tag des darauffolgenden Monats habe erscheinen müssen und er insgesamt zwei Termine wahrgenommen habe, bevor er das Land verlassen habe (vgl. act. A6/12 S. 9). An der Anhörung sowie in der Beschwerde behauptete er jedoch, nur einmal zum Termin erschienen zu sein und zwar am (...). Juni 2008 (vgl. act. A10/13 S. 7 f.). Überdies konnte er nicht nachvollziehbar erklären, weshalb er die Verpflichtung, Berichte über die Quartierbewohner zu verfassen und abzugeben, anlässlich der BzP unerwähnt liess, obwohl er dort die Entlassungsmodifikationen wie auch den Ablauf der ersten Unterschriftenleistung im Übrigen sehr eingehend beschrieb (vgl. act. A10/13 S. 10). Ferner widersprach er sich erneut, indem er bildhaft zu Protokoll gab, wie er mit dem Taxi zu seinem Freund gefahren sei (vgl. act. A10/13 S. 8 f.), in der Beschwerde hingegen vorbrachte, sein Freund habe ihn abgeholt.</w:t>
      </w:r>
    </w:p>
    <w:p>
      <w:r>
        <w:rPr>
          <w:b/>
        </w:rPr>
        <w:t>E. 5.4</w:t>
      </w:r>
    </w:p>
    <w:p>
      <w:r>
        <w:t>Nach dem Gesagten kann nicht ausgeschlossen werden, dass der Beschwerdeführer im Rahmen der gross angelegten Verhaftungsaktion der sudanesischen Behörden im Zusammenhang mit den Ereignissen im Mai 2008 Opfer einer willkürlichen Verhaftung wurde. Der Beschwer­deführer konnte auch glaubhaft darlegen, dass er während der Haft geschlagen wurde. Als unglaubhaft erweisen sich jedoch die Ausführungen zu weitergehender Folter. Sodann ist davon auszugehen, dass der Beschwerdeführer nach wenigen Tagen freigelassen wurde, weil die Sicherheitsbehörden ihn nicht als Regimegegner einstuften. Das Asyl dient jedoch nicht dem Ausgleich vergangener Nachteile, sondern es bedarf einer anhaltenden Verfolgungssituation. Der Beschwerdeführer macht jedoch selber geltend, nie politisch aktiv gewesen zu sein (vgl. act. A10/13 S. 5, 11). Es ist demnach auch nicht davon auszugehen, dass er nach dieser Haft weitere ernsthafte Übergriffe zu befürchten hatte. So werden in Übereinstimmung mit der Vorinstanz die Ereignisse nach der Haft als unglaubhaft erachtet und der Beschwerdeführer hat die Zeit zwischen der Haftentlassung bis zur Ausreise vermutlich unbehelligt zu Hause verbringen können. Ferner hat sich der Beschwerdeführer auch im Exil nicht politisch betätigt, so dass im heutigen Zeitpunkt seine Befürchtung, bei einer Rückkehr in seinen Heimatstaat von den sudanesischen Behörden im asylrelevanten Sinne verfolgt zu werden, als unbegründet eingeschätzt werden muss. Aufgrund dieser Erwägungen ist nicht weiter auf die eingereichten Beweismittel einzugehen und der Antrag auf Anordnung einer adäquaten medizinischen Überprüfung ist abzuweisen.</w:t>
      </w:r>
    </w:p>
    <w:p>
      <w:r>
        <w:rPr>
          <w:b/>
        </w:rPr>
        <w:t>E. 6</w:t>
      </w:r>
    </w:p>
    <w:p>
      <w:r>
        <w:t>Dem Beschwerdeführer ist es somit nicht gelungen, eine Verfolgung oder begründete Furcht vor zukünftiger Verfolgung im Sinne von Art. 3 AsylG glaubhaft darzulegen. Die Vorinstanz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aktuelle Rechtsprechung des Bundesverwaltungsgerichts geht derzeit - abgesehen von der Region Darfur - nicht von einer Situation allgemeiner Gewalt im Sudan aus, aufgrund derer die Zivilbe­völkerung als konkret gefährdet bezeichnet werden müsste (vgl. Urteil des Bundesverwaltungsgerichts E-1424/2014 vom 4. Juni 2014 m.w.H.). Auch sprechen keine persönlichen Gründe wirtschaftlicher, sozialer oder gesundheitlicher Natur gegen den Vollzug der Wegweisung. Der Beschwerdeführer hat die Grund- und Sekundarschule besucht. Dazu verfügt er über mehrere Jahre Berufserfahrung. In D._______ bestehen zudem familiäre Anknüpfungspunkte, denn sein Onkel, der ihm auch seinen Identitätsausweis in die Schweiz geschickt habe, sowie seine Mutter leben dort. Zudem leben einige Geschwister sowie sein Freund ebenfalls in der Nähe von D._______ respektive Khartum. Es ist anzunehmen, dass sie ihm nach der Rückkehr bei der Reintegration und beim Aufbau eines eigenständigen Lebens unterstützend zur Seite stehen. Entsprechend ist nicht davon auszugehen, dass der Beschwerdeführer nach seiner Rückkehr in den Sudan in eine existenzgefährdende Situation geraten könnte. Der Vollzug der Wegweisung erweist sich somit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beziehungsweise angemessen ist (Art. 49 VwVG). Die Beschwerde ist abzuweisen.</w:t>
      </w:r>
    </w:p>
    <w:p>
      <w:r>
        <w:rPr>
          <w:b/>
        </w:rPr>
        <w:t>E. 10</w:t>
      </w:r>
    </w:p>
    <w:p>
      <w:r>
        <w:t>Bei diesem Ausgang des Verfahrens wären die Kosten dem Be­schwer­de­führer aufzuerlegen (Art. 63 Abs. 1 VwVG). Mit Zwischenverfügung vom 19. Dezember 2014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