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D-6823/2013 vom 26. Juni 2014</w:t>
      </w:r>
    </w:p>
    <w:p>
      <w:r>
        <w:t>Bundesverwaltungsgericht, 2014-06-26, IT</w:t>
      </w:r>
    </w:p>
    <w:p>
      <w:r>
        <w:rPr>
          <w:b/>
        </w:rPr>
        <w:t xml:space="preserve">Quelle: </w:t>
      </w:r>
      <w:r>
        <w:t>https://mcp.opencaselaw.ch/entscheid/bvger_D-6823_2013</w:t>
      </w:r>
    </w:p>
    <w:p>
      <w:r>
        <w:t>FR: TAF D-6823/2013 du 26 juin 2014</w:t>
      </w:r>
    </w:p>
    <w:p>
      <w:r>
        <w:t>IT: TAF D-6823/2013 del 26 giugno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Conformemente all'art. 111a cpv. 1 LAsi il Tribunale rinuncia allo scambio degli scritti.</w:t>
      </w:r>
    </w:p>
    <w:p>
      <w:r>
        <w:rPr>
          <w:b/>
        </w:rPr>
        <w:t>E. 5.1</w:t>
      </w:r>
    </w:p>
    <w:p>
      <w:r>
        <w:t>Nella decisione contestata l'UFM ha considerato le allegazioni circa i motivi d'asilo dell'interessato come non verosimili ai sensi dell'art. 7 LAsi. In particolare il ricorrente avrebbe omesso di citare, nel corso dell'audizione sui motivi d'asilo, due fermi di polizia che avrebbe invece evocato nell'audizione sulle generalità. Egli avrebbe pure fornito versioni divergenti in merito al trattamento subito nel carcere siriano e circa i motivi della propria scarcerazione. A mente dell'UFM, l'insorgente avrebbe inoltre fornito dichiarazioni contrastanti circa il proprio ruolo nel PYD. Oltre a quanto precede, l'autorità inferiore rimprovera al ricorrente di non avere motivato a sufficienza le proprie allegazioni, segnatamente egli avrebbe reso dichiarazioni troppo generiche circa gli asseriti interrogatori e maltrattamenti subiti dalle autorità siriane, inducendo l'UFM a concludere che egli non avrebbe realmente vissuto i fatti descritti.</w:t>
      </w:r>
    </w:p>
    <w:p>
      <w:r>
        <w:rPr>
          <w:b/>
        </w:rPr>
        <w:t>E. 5.2</w:t>
      </w:r>
    </w:p>
    <w:p>
      <w:r>
        <w:t>Aggravandosi contro la decisione dell'UFM, il ricorrente ribadisce l'assenza di diritti nel paese d'origine e le persecuzioni che avrebbe subito in ragione dell'appartenenza al PYD. Egli smentisce le contraddizioni rilevate dall'autorità inferiore sostenendo che i fatti che avrebbe omesso nella seconda audizione sarebbero semplici dimenticanze non tali da inficiare il racconto dettagliato che avrebbe reso nelle audizioni. Per quanto concerne le modalità del suo rilascio, l'insorgente spiega che entrambe le versioni sarebbero vere e complementari l'una all'altra. In particolare, egli sarebbe stato rilasciato contro il pagamento di una cifra in denaro ma le autorità carcerarie, onde nascondere l'avvenuta corruzione, avrebbero motivato il rilascio con l'assenza di prove nei suoi confronti. Anche per quanto concerne i maltrattamenti subiti in carcere non si tratterebbe di vere contraddizioni, come sostenuto dall'UFM, ma dello stesso racconto rispettivamente con più e meno dettagli. Il ricorrente sostiene inoltre che l'avere dichiarato in un'occasione di essere militante e in un'altra di essere appartenente al PYD non sarebbe una contraddizione quanto al suo ruolo in tale partito, bensì una semplice imprecisione terminologica. Infine, l'insorgente contesta l'interpretazione dell'UFM circa la mancanza di dettagli nel proprio racconto sostenendo che tali considerazioni da parte dell'autorità inferiore sarebbero del tutto soggettive.</w:t>
      </w:r>
    </w:p>
    <w:p>
      <w:r>
        <w:rPr>
          <w:b/>
        </w:rPr>
        <w:t>E. 6</w:t>
      </w:r>
    </w:p>
    <w:p>
      <w:r>
        <w:t>Preliminarmente il Tribunale osserva che, essendo il ricorrente stato posto al beneficio dell'ammissione provvisoria, oggetto del litigio in questa sede risulta essere unicamente la questione del mancato riconoscimento della qualità di rifugiato e il conseguente rifiuto della sua domanda di asilo, nonché la pronuncia dell'allontanamento.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2003, pagg. 447 segg.; Mario Gattiker, La procédure d'asile et de renvoi,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w:t>
      </w:r>
    </w:p>
    <w:p>
      <w:r>
        <w:rPr>
          <w:b/>
        </w:rPr>
        <w:t>E. 8</w:t>
      </w:r>
    </w:p>
    <w:p>
      <w:r>
        <w:t>Nel caso concreto, come rettamente rilevato dall'UFM, le dichiarazioni del ricorrente, oltre che stereotipate, risultano essere ricche di contraddizioni e, pertanto, inverosimili. A titolo d'esempio, l'insorgente ha dapprima sostenuto che anche dopo il secondo arresto le autorità siriane avrebbero continuato a tormentarlo, precisando che sarebbe stato prelevato in due occasioni per essere portato in un centro petrolifero ed interrogato. Inoltre, le medesime autorità avrebbero continuato a telefonargli chiedendogli dove fosse e con chi fosse (cfr. verbale 1, p. 7). Contrariamente a quanto precede, nella seconda audizione il ricorrente ha invece affermato che solo il giorno dopo il suo rilascio due uomini sarebbero venuti a cercarlo ma, dopo essere stati pagati dal padre, non avrebbe più avuto alcun contatto con le autorità siriane sino al suo espatrio (cfr. verbale 2, D76-82, p. 8). Appare evidente che, circostanze così marcanti quali quelle descritte nella prima audizione, non sarebbero state dimenticate nella seconda audizione se effettivamente vissute. L'insorgente si è inoltre contraddetto circa le date degli asseriti arresti, segnatamente egli ha dapprima sostenuto che sarebbe stato arrestato il (...) e rilasciato in data (...) (cfr. verbale 1, p. 6), allorché, nella seconda audizione, ha affermato che sarebbe stato rilasciato tra il 20 e il 22 luglio 2010 (cfr. verbale 2, D34, p. 4). Oltre alle date, vi sono versioni discordanti anche in merito alle modalità del secondo rilascio, infatti nell'audizione sulle generalità il ricorrente ha dichiarato che sarebbe stato rilasciato contro il pagamento di una cauzione da parte dei genitori (cfr. verbale 1, p.6), mentre che nell'audizione sui motivi d'asilo la motivazione del rilascio viene ricondotta all'assenza di elementi nei suoi confronti (cfr. verbale 2, D35, p. 4). Anche in questo caso le giustificazioni ricorsuali non convincono, d'altronde se si fosse trattato di due motivi complementari, come da egli sostenuto, mal si comprende perché non sono stati evocati entrambi nelle due audizioni. Le dichiarazioni del ricorrente non sono credibili nemmeno circa l'asserito ruolo nel PYD, infatti l'insorgente ha dapprima precisato di essere stato inizialmente solo un simpatizzante di tale partito e, nel 2010, ne sarebbe divenuto membro (cfr. verbale 1, p. 7), allorché, in seguito, ha dichiarato che egli sarebbe sempre stato solo un simpatizzante del partito, negando nel contempo di esserne stato membro (cfr. verbale 2, D 31, p. 4). Come si può facilmente intuire dalle frasi riportate a verbale, l'interessato distingue perfettamente l'essere membro di un partito dall'esserne un semplice simpatizzante, motivo per cui, anche in questo caso, la tesi ricorsuale secondo cui le differenti versioni sarebbero semplicemente frutto di un'imprecisione terminologica non può essere condivisa. Infine, anche l'accusa generica secondo cui quale curdo sarebbe discriminato in Siria e non a­vrebbe alcun diritto non può condurre al riconoscimento di una persecuzione ai sensi dell'art. 3 LAsi. D'altronde, è lo stesso interessato a riconoscere che il governo siriano, come già noto al Tribunale (cfr. decisioni del Tribunale D-1497/2012 dell'11 luglio 2013 p. 5 e E-2475/2010 del 29 agosto 2009 consid. 3.4.2), ha ampliato i diritti della minoranza curda "Ajanib" rilevando che i suoi famigliari hanno ottenuto la cittadinanza siriana e che egli stesso potrebbe ottenerla nel caso in cui tornasse in Siria (cfr. verbale 2, D9, p. 2); In conclusione, visto quanto precede, il Tribunale ritiene che l'UFM ha rettamente ritenuto che le dichiarazioni del ricorrente circa i motivi d'asilo quali inverosimili ai sensi dell'art. 7 LAsi. Ne consegue che sul punto di questione dell'asilo il ricorso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2011/24 consid. 10.1). Pertanto, anche sul punto di questione della pronuncia dell'allontanamento, il ricorso non merita tutela e la decisione impugnata va confermata.</w:t>
      </w:r>
    </w:p>
    <w:p>
      <w:r>
        <w:rPr>
          <w:b/>
        </w:rPr>
        <w:t>E. 10</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11</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Queste sono compensate con l'anticipo tempestivamente versato il 25 febbraio 2014.</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