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D-6812/2024 vom 26. März 2025</w:t>
      </w:r>
    </w:p>
    <w:p>
      <w:r>
        <w:t>Bundesverwaltungsgericht, 2025-03-26, DE</w:t>
      </w:r>
    </w:p>
    <w:p>
      <w:r>
        <w:rPr>
          <w:b/>
        </w:rPr>
        <w:t xml:space="preserve">Quelle: </w:t>
      </w:r>
      <w:r>
        <w:t>https://mcp.opencaselaw.ch/entscheid/bvger_D-6812_2024</w:t>
      </w:r>
    </w:p>
    <w:p>
      <w:r>
        <w:t>FR: TAF D-6812/2024 du 26 mars 2025</w:t>
      </w:r>
    </w:p>
    <w:p>
      <w:r>
        <w:t>IT: TAF D-6812/2024 del 26 marzo 2025</w:t>
      </w:r>
    </w:p>
    <w:p>
      <w:pPr>
        <w:pStyle w:val="Heading2"/>
      </w:pPr>
      <w:r>
        <w:t>Regeste</w:t>
      </w:r>
    </w:p>
    <w:p>
      <w:r>
        <w:t>Asyl und Wegweisung</w:t>
      </w:r>
    </w:p>
    <w:p>
      <w:pPr>
        <w:pStyle w:val="Heading2"/>
      </w:pPr>
      <w:r>
        <w:t>Erwägungen</w:t>
      </w:r>
    </w:p>
    <w:p>
      <w:r>
        <w:rPr>
          <w:b/>
        </w:rPr>
        <w:t>E. 33</w:t>
      </w:r>
    </w:p>
    <w:p>
      <w:r>
        <w:t>Abs. 1 FK [SR 0.142.30]) und auch keine konkreten Anhaltspunkte für eine in der Heimat drohende menschenrechtswidrige Behandlung (im Sinne von Art. 3 EMRK) ersichtlich sind,</w:t>
      </w:r>
    </w:p>
    <w:p>
      <w:r>
        <w:t>D-6812/2024 Seite 8 dass der Vollzug der Wegweisung auch als zumutbar zu erkennen ist (Art. 83 Abs. 4 AIG), da weder die allgemeine Lage in der Heimat der Beschwer- deführerin (vgl. Urteil des BVGer E-3583/2024 vom 20. Juni 2024) noch individuelle Gründe auf eine konkrete Gefährdung im Falle einer Rückkehr schliessen lassen und vollumfänglich auf die zutreffenden Ausführungen in der angefochtenen Verfügung verwiesen werden kann, in welcher auch die psychische Belastungssituation der Beschwerdeführerin berücksichtigt wurde (vgl. Verfügung, S. 5 f.), dass zudem mit Urteil vom gleichen Tag die Beschwerde des Partners der Beschwerdeführerin B._______ (D-6810/2024) ebenfalls abgelehnt wird, weshalb die Beschwerdeführerin zusammen mit ihrem Partnerin ausreisen kann und sie sich gegenseitig im Heimatland werden unterstützen können, dass es der Beschwerdeführerin obliegt, sich die für ihre Rückkehr allen- falls benötigte Reisedokumente zu beschaffen (Art. 8 Abs. 4 AsylG; vgl. BVGE 2008/34 E. 12), weshalb der Vollzug der Wegweisung auch als mög- lich zu bezeichnen ist, dass die Anordnung der vorläufigen Aufnahme somit ausser Betracht fällt (Art. 83 Abs. 1-4 AIG), dass die Beschwerde nach dem Gesagten abzuweisen und die Verfügung der Vorinstanz zu bestätigen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D-6812/2024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