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D-6812/2013 vom 29. April 2014</w:t>
      </w:r>
    </w:p>
    <w:p>
      <w:r>
        <w:t>Bundesverwaltungsgericht, 2014-04-29, DE</w:t>
      </w:r>
    </w:p>
    <w:p>
      <w:r>
        <w:rPr>
          <w:b/>
        </w:rPr>
        <w:t xml:space="preserve">Quelle: </w:t>
      </w:r>
      <w:r>
        <w:t>https://mcp.opencaselaw.ch/entscheid/bvger_D-6812_2013</w:t>
      </w:r>
    </w:p>
    <w:p>
      <w:r>
        <w:t>FR: TAF D-6812/2013 du 29 avril 2014</w:t>
      </w:r>
    </w:p>
    <w:p>
      <w:r>
        <w:t>IT: TAF D-6812/2013 del 29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Rechtsverweigerungs- und Rechtsverzögerungsbeschwerde ist akzessorisch zum Hauptverfahren, weshalb sich die Beschwerdebefugnis nach der Legitimation im Hauptverfahren richtet. Demnach ist zur Beschwerde berechtigt, wer vor der Vorinstanz am Verfahren teilgenommen hat (Art. 48 Abs. 1 Bst. a VwVG), durch die angefochtene Verfügung berührt ist (Art. 48 Abs. 1 Bst. b VwVG) und ein schutzwürdiges Interesse an deren Aufhebung oder Änderung hat (Art. 48 Abs. 1 Bst. c VwVG). Hiervon ausgehend wäre der Beschwerdeführer zur Beschwerde gegen die allfällig abschlägige Beurteilung seines Asylgesuchs befugt, womit er zur Beschwerde gegen das unrechtmässige Verweigern und Verzögern eines solchen Entscheides legitimiert ist (vgl. BVGE 2008/15 E. 3.1.1 - 3.3).</w:t>
      </w:r>
    </w:p>
    <w:p>
      <w:r>
        <w:rPr>
          <w:b/>
        </w:rPr>
        <w:t>E. 1.3</w:t>
      </w:r>
    </w:p>
    <w:p>
      <w:r>
        <w:t>Die Rechtsverweigerung- und Rechtsverzögerungsbeschwerde unterliegt keiner peremptorischen Frist (Art. 6 AsylG i.V.m. Art. 50 Abs. 2 VwVG). Der Beschwerdeführer reichte seine Beschwerde in gültiger Form ein (Art. 6 AsylG i.V.m. Art. 52 VwVG). Auf jene ist somit einzutreten.</w:t>
      </w:r>
    </w:p>
    <w:p>
      <w:r>
        <w:rPr>
          <w:b/>
        </w:rPr>
        <w:t>E. 2.1</w:t>
      </w:r>
    </w:p>
    <w:p>
      <w:r>
        <w:t>Das Verbot der Rechtsverweigerung respektive Rechtsverzögerung ergibt sich aus Art. 29 Abs. 1 der Bundesverfassung der Schweizerischen Eidgenossenschaft vom 18. April 1999 (BV, SR 101). Gemäss dieser Bestimmung hat jede Person unter anderem Anspruch auf eine Beurteilung ihrer Sache innert angemessener Frist. Diese Verfassungsgarantie gilt für alle Sachbereiche und alle Akte der Rechtsanwendung (vgl. BGE 130 I 312 E. 5.1, mit weiteren Hinweisen).</w:t>
      </w:r>
    </w:p>
    <w:p>
      <w:r>
        <w:rPr>
          <w:b/>
        </w:rPr>
        <w:t>E. 2.2</w:t>
      </w:r>
    </w:p>
    <w:p>
      <w:r>
        <w:t>Eine Rechtsverweigerung liegt vor, wenn eine Behörde sich weigert, eine Verfügung zu erlassen, obwohl sie dazu aufgrund der einschlägigen Rechtsnormen verpflichtet wäre. Hinweise auf eine solche Rechtsverweigerung ergeben sich indessen aus den Akten keine und werden vom Beschwerdeführer auch nicht behauptet.</w:t>
      </w:r>
    </w:p>
    <w:p>
      <w:r>
        <w:rPr>
          <w:b/>
        </w:rPr>
        <w:t>E. 2.3</w:t>
      </w:r>
    </w:p>
    <w:p>
      <w:r>
        <w:t>Von einer Rechtsverzögerung im Sinne des Gesetzes ist nach Lehre und Praxis auszugehen, wenn die Behörde sich zwar bereit zeigt, den Entscheid zu treffen, dies aber nicht innert der Frist tut, die nach der Natur der Sache objektiv noch als angemessen erscheint. Die Angemessenheit der Dauer eines Verfahrens ist im Einzelfall unter Berücksichtigung der gesamten Umstände zu beurteilen; ein Verschulden der Behörde ist nicht vorausgesetzt, weshalb sie das Rechtsverzögerungsverbot auch dann verletzt, wenn sie wegen Personalmangels oder Überlastung nicht innert angemessener Frist verfügt (BGE 107 Ib 160 E. 3c, BGE 103 V 190 E. 5; Felix Uhlmann/Simone Wälle-Bär, in: Praxiskommentar VwVG, Waldmann/Weissenberger [Hrsg.], Zürich 2009, Art. 46a N 20). In Betracht zu ziehen sind sodann namentlich die Komplexität der Sache, das Verhalten der betroffenen Beteiligten und der Behörden, die Bedeutung des Verfahrens für die betroffene Partei sowie einzelfallspezifische Entscheidungsabläufe (vgl. zum Ganzen BGE 130 I 312 = Pra 2006 Nr. 37 E. 5.1; Müller, a.a.O., Rz. 6 zu Art. 46a VwVG). Nach den zum Zeitpunkt der Einreichung des Asylgesuches für das erstinstanzliche Asylverfahren geltenden Behandlungsfristen waren Entscheide in der Regel innerhalb von 20 Arbeitstagen nach der Gesuchstellung zu treffen, Nichteintretensentscheide innerhalb von zehn Tagen nach Gesuchseinreichung (alt Art. 37 Abs. 1 und 2 AsylG). Wenn weitere Abklärungen nach alt Art. 41 AsylG erforderlich waren, war über das Asylgesuch in der Regel innerhalb von drei Monaten zu entscheiden (alt Art. 37 Abs. 3 AsylG). Diese bereits knappen Fristen sind vom Gesetzgeber mit der am 1. Februar 2014 in Kraft getretenen Asylgesetzrevision - zweifellos in Kenntnis der aktuellen Pendenzensituation des BFM - nochmals erheblich gekürzt worden: Neu sind Nichteintretensentscheide in der Regel innerhalb von fünf Arbeitstagen nach Gesuchstellung (respektive Zustimmung des rückübernehmenden Staates im Dublin-Verfahren) zu treffen, während die Entscheide in allen übrigen Verfahren in der Regel innerhalb von zehn Arbeitstagen nach der Gesuchstellung zu treffen sind (Art. 37 Abs. 1 und 2 AsylG).</w:t>
      </w:r>
    </w:p>
    <w:p>
      <w:r>
        <w:rPr>
          <w:b/>
        </w:rPr>
        <w:t>E. 3.1</w:t>
      </w:r>
    </w:p>
    <w:p>
      <w:r>
        <w:t>Das Bundesverwaltungsgericht stellt nach Durchsicht der Akten Folgendes fest:</w:t>
      </w:r>
    </w:p>
    <w:p>
      <w:r>
        <w:rPr>
          <w:b/>
        </w:rPr>
        <w:t>E. 3.2</w:t>
      </w:r>
    </w:p>
    <w:p>
      <w:r>
        <w:t>Vorab ist anzumerken, dass der Beschwerdeführer sich bereits am9. November 2009 wegen seiner geltend gemachten Gefährdungslage schutzsuchend an die Schweizer Behörden gewandt hat, wobei das BFM ihn bis dato nicht darüber informierte, dass es die entsprechenden Verfahrensdokumente von der Schweizerischen Botschaft in D.______ am27. Juni 2011 erhalten hat. Dies wäre jedoch insofern angebracht gewesen, als das BFM ihm in der Bundesanhörung vom 26. Januar 2011 noch entgegengehalten hatte, dass keine Informationen über dieses Asylgesuch aus dem Ausland vorliegen würden (act. A7, S. 2), was den Beschwerdeführer offensichtlich sehr beunruhigte (vgl. act. A7, S. 4).</w:t>
      </w:r>
    </w:p>
    <w:p>
      <w:r>
        <w:rPr>
          <w:b/>
        </w:rPr>
        <w:t>E. 3.3</w:t>
      </w:r>
    </w:p>
    <w:p>
      <w:r>
        <w:t>Das im vorliegenenden Verfahren zu beurteilende Asylgesuch des Beschwerdeführers datiert vom 4. Januar 2011 und ist mithin nun seit über drei Jahren hängig. Dem Bundesverwaltungsgericht ist die hohe Belastung des BFM bekannt. Dass angesichts dieser Pendenzenzahl momentan nicht jedes einzelne Asylverfahren innerhalb der Behandlungsfristen von Art. 37 AsylG abgeschlossen werden kann, ist nachvollziehbar. Allerdings kann das BFM, wie in seinem Antwortschreiben an die Rechtsvertreterin vom 13. Juni 2013 angedeutet, mit den Argumenten der hohen Geschäftslast und der internen Prioritätenordnung, rechtsprechungsgemäss eine überlange Verfahrensdauer nicht rechtfertigen (s.o.).</w:t>
      </w:r>
    </w:p>
    <w:p>
      <w:r>
        <w:rPr>
          <w:b/>
        </w:rPr>
        <w:t>E. 3.4</w:t>
      </w:r>
    </w:p>
    <w:p>
      <w:r>
        <w:t>Die faktische Verfahrensdauer von über drei Jahren steht in keinerlei Verhältnis mehr zu der seit 1. Februar 2014 geltenden Vorgabe des Gesetzgebers (zehn Arbeitstage), auch wenn zur Abklärung, wie die Rechtsvertreterin zu Recht vorbringt, bei diesem komplexeren Fall noch weitere Abklärungen nach alt Art. 41 AsylG notwendig sein dürften. Eine irgendwie geartete Mitverantwortung des Beschwerdeführers für die lange Verfahrensdauer kann zudem klar verneint werden, insbesondere vor dem Hintergrund seiner ausführlichen Angaben in den Befragungsprotokollen und der Vielzahl der (nach summarischer Prüfung tauglich erscheinenden) eingereichten Beweismittel. Vielmehr ist er seiner von Gesetzes wegen obliegenden Mitwirkungspflicht bei der Feststellung des rechtserheblichen Sachverhaltes offensichtlich nachgekommen (vgl. Art. 8 AsylG).</w:t>
      </w:r>
    </w:p>
    <w:p>
      <w:r>
        <w:rPr>
          <w:b/>
        </w:rPr>
        <w:t>E. 3.5</w:t>
      </w:r>
    </w:p>
    <w:p>
      <w:r>
        <w:t>Am 26. Januar 2011 erfolgte die Bundesanhörung. Aus den Akten ist nicht ersichtlich, dass seither weitere Verfahrenshandlungen erfolgt oder Abklärungen getroffen worden wären, wie beispielsweise das Veranlassen von Übersetzungen der vom Beschwerdeführer (bei der Botschaft und beim BFM) eingereichten umfangreichen türkischen Verfahrensdokumente bzw. sonstigen Beweismittel oder das Durchführen weiterer Abklärungen über die Schweizerische Botschaft in D.______. Angesichts dessen, dass sich das BFM seit der Eingabe des Beschwerdeführers vom 2. August 2012 (mit welcher ein ausführlicher Arztbericht des afK vom 20. Juli 2012 eingereicht wurde) in Kenntnis über dessen traumatisierten Gesundheitszustand befindet und auch aus dem später eingereichten Bericht des afk vom 24. Mai 2013 für das BFM klar zu entnehmen war, zu was für einer erheblichen Belastung sich die lange Verfahrensdauer für den Beschwerdeführer und die ganze Familie auswirkt, ist die gänzliche Untätigkeit des BFM nicht nachvollziehbar. Bis auf das Antwortschreiben an die Rechtsvertreterin bezüglich der Anfrage vom 13. Juni 2013 nach dem Verfahrensstand sind dem Dossier keine Hinweise über irgendwelche vom BFM getätigten Vorkehrungen zu entnehmen. Im Rahmen des Schriftenwechsels hat das BFM es zudem versäumt zu erklären, weshalb es bis heute nicht in der Lage sein sollte, über das Asylgesuch vom 4. Januar 2011 befinden zu können. Im Übrigen ist daran zu erinnern, dass das Asylverfahren den Schutz höchster Rechtsgüter wie Leib, Leben und persönliche Freiheit (Art. 3 Abs. 2 AsylG) zum Zweck hat, weshalb in diesen Fällen grundsätzlich eine beförderliche Behandlung der Gesuche sachlich geboten ist.</w:t>
      </w:r>
    </w:p>
    <w:p>
      <w:r>
        <w:rPr>
          <w:b/>
        </w:rPr>
        <w:t>E. 3.6</w:t>
      </w:r>
    </w:p>
    <w:p>
      <w:r>
        <w:t>Es ist demzufolge festzustellen, dass das Beschleunigungsgebot des Art. 29 Abs. 1 BV klar verletzt ist und sich die Rüge der Rechtsverzögerung somit als begründet erweist. Die Beschwerde vom 3. Dezember 2013 ist gutzuheissen. Die Akten gehen an das BFM zurück, verbunden mit der Anweisung, das Gesuch vom 4. Januar 2011 zügig zu behandeln und allfällige weitere Abklärungen umgehend in die Wege zu leiten. 4.1 Bei diesem Ausgang des Verfahrens sind keine Verfahrenskosten aufzuerlegen (Art. 63 Abs. 1 VwVG). 4.2 Dem Beschwerdeführer ist aufgrund seines Obsiegens im Beschwerdeverfahren in Anwendung von Art. 64 Abs. 1 VwVG eine Parteientschädigung für die ihm erwachsenen Vertretungskosten zuzusprechen (vgl. Art. 7 des Reglements vom 21. Februar 2008 über die Kosten und Entschädigungen vor dem Bundesverwaltungsgericht [VGKE, SR 173.320.2]). Die Rechtsvertretererin hat mit der Beschwerde vom 3. Dezember 2013 eine Kostennote vom 2. Dezember 2013 eingereicht, in welcher sie einen Gesamtbetrag von Fr. 1346.-- ( inkl. Mehrwertsteuer und sämtliche Auslagen) in Rechnung stellt. Für das Gespräch mit dem Beschwerdeführer und das Abfassen der Beschwerde hat sie (bei einem Stundenansatz von Fr. 240.--) einen Betrag von Fr. 1200.-- in Rechnung gestellt. Eine Stunde Arbeitsaufwand wurde für das Mandantengespräch berechnet, was angemessen erscheint. Für die Beschwerdeabfassung hat die Rechtsvertreterin zwei Stunden geltend gemacht, was ebenfalls angemessen erscheint, weshalb es sich bei dem diesbezüglich in Rechnung gestellten Betrag von Fr. 960.-- um einen Schreibfehler handeln muss. Vielmehr ist angesichts des Stundenansatz von Fr. 240.-- stattdessen davon auszugehen, dass für das zweistündige Abfassen der Beschwerde ein Betrag von 480.-- in Rechnung gestellt werden sollte. Der Vertretungsaufwand beträgt demnach nicht, wie schätzungsweise aufgrund des vermutlichen Schreibfehlers in der Kostennote angegeben, Fr. 1200.--, sondern Fr. 720.--. Inklusive Mehrwertsteuer ergibt dies hinsichtlich des Vertretungsaufwandes einen Betrag von Fr. 777.60, zuzüglich der in Rechnung gestellten Spesenpauschale von Fr. 50.--. Die vom BFM auszurichtende Parteientschädigung ist demnach auf insgesamt Fr. 827.60 (inkl. Mehrwertsteuer und sämtliche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