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D-6812/2006 vom 4. Juli 2007</w:t>
      </w:r>
    </w:p>
    <w:p>
      <w:r>
        <w:t>Bundesverwaltungsgericht, 2007-07-04, DE</w:t>
      </w:r>
    </w:p>
    <w:p>
      <w:r>
        <w:rPr>
          <w:b/>
        </w:rPr>
        <w:t xml:space="preserve">Quelle: </w:t>
      </w:r>
      <w:r>
        <w:t>https://mcp.opencaselaw.ch/entscheid/bvger_D-6812_2006</w:t>
      </w:r>
    </w:p>
    <w:p>
      <w:r>
        <w:t>FR: TAF D-6812/2006 du 4 juillet 2007</w:t>
      </w:r>
    </w:p>
    <w:p>
      <w:r>
        <w:t>IT: TAF D-6812/2006 del 4 luglio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Was die angeblich fluchtauslösenden Ereignisse vor der Ausreise aus dem Iran betrifft, so lässt es der Beschwerdeführer in seinen Beschwerdeeingaben im Wesentlichen bei einer Wiederholung der im vorinstanzlichen Verfahren geltend gemachten Vorbringen bewenden. Der Rechtsmitteleingabe sind aber keine stichhaltigen Entgegnungen zu entnehmen, welche die diesbezügliche Argumentation der Vorinstanz in Zweifel zu ziehen vermöchten. Auch nach Ansicht des Bundesverwaltungsgerichts erweisen sich die Aussagen des Beschwerdeführers zu den Ausreisegründen in wesentlichen Punkten als widersprüchlich, ungereimt und deshalb unglaubhaft.</w:t>
      </w:r>
    </w:p>
    <w:p>
      <w:r>
        <w:rPr>
          <w:b/>
        </w:rPr>
        <w:t>E. 4.2</w:t>
      </w:r>
    </w:p>
    <w:p>
      <w:r>
        <w:t>Der Beschwerdeführer macht auf Beschwerdeebene im Weiteren geltend, er sei der L._______ sowie der M._______ beigetreten und habe im Rahmen des Engagements für diese Parteien an Informationsveranstaltungen teilgenommen. Er sei auch einer der Teilnehmer an der Hungerstreikaktion vom (...) gewesen. Er habe in den Jahren 2003-2005 an verschiedenen Informationsveranstaltungen der L._______, der N._______ und schliesslich der M._______ teilgenommen bzw. diese mitorganisiert. Ferner habe er den Informationsstand der L._______ vom (...) in O._______ auf seinen Namen angemeldet. Er habe am (...) an der Kundgebung vor dem Hotel P._______ in Q._______, wo sich Präsident R._______ aufgehalten habe, teilgenommen sowie an der Protestkundgebung vom (...) sowie vom (...) vor der S. in Q. Unter anderem habe er auch an der Generalversammlung der M._______ am 22. Januar 2005 im T._______ in O._______ teilgenommen. Bei fast allen Aktionen seien die Teilnehmer fotografiert und die Fotos der Aktionsteilnehmer seien veröffentlicht worden. Er sei darauf gut erkennbar. Auch in der Fernsehberichterstattung sei er deutlich zu sehen. Für den Beweis dieser Vorbringen reichte der Beschwerdeführer verschiedene Dokumente ein.</w:t>
      </w:r>
    </w:p>
    <w:p>
      <w:r>
        <w:rPr>
          <w:b/>
        </w:rPr>
        <w:t>E. 4.3</w:t>
      </w:r>
    </w:p>
    <w:p>
      <w:r>
        <w:t>Aufgrund der Möglichkeit des Rechtsmissbrauchs sind die Anforderungen bezüglich der Annahme eines subjektiven Nachfluchtgrundes grundsätzlich hoch anzusetzen, da es nicht im Belieben eines Asylbewerbers stehen soll, die Flüchtlingseigenschaft durch Aktivitäten im Aufenthaltsstaat herbeizuführen. Der gesetzgeberische Wille war ganz klar dahingegend, dass subjektive Nachfluchtgründe verursachende Asylbewerber nur dann als Flüchtlinge vorläufig aufgenommen werden sollen, wenn eine Rückweisung in den Heimatstaat die von der Schweiz unterzeichneten Konventionen verletzen würde. Demnach rechtfertigt es sich - analog zur Prüfung, ob eine Wegweisungsschranke nach Art. 3 EMRK vorliegt - bezüglich des Vorliegens subjektiver Nachfluchtgründe einen strengen Massstab anzuwenden. Es ist zwar gerichtsnotorisch, dass die iranischen Behörden die politischen Aktivitäten ihrer Staatsangehörigen im Ausland überwachen. Die iranischen Behörden haben aber nur Interesse an der namentlichen Identifizierung einer Person, deren Aktivitäten über den Rahmen massentypischer und niedrigprofilierter Erscheinungsformen exilpolitischer Proteste hinausgehen und Funktionen oder Aktivitäten entwickelt, welche den Asylsuchenden als ernsthaften und gefährlichen Regimegegner erscheinen lassen. Erheblich ist eine exilpolitische Betätigung nur dann, wenn der Betreffende nach aussen erkennbar, persönlich exponiert und virulent regimefeindlich aktiv wird oder wenn sich seine politischen Aktionen als Fortführung einer bereits im Heimatland betätigten festen Überzeugung darstellen und sie eine gewisse Intensität erreichen. So besteht z.B. grundsätzlich keine asylerhebliche Gefährdung für einen blossen Mitläufer der Volksmujahedin, wenn es sich bei seinen Aktivitäten um eine untergeordnete exilpolitische Betätigung handelt (z.B. Teilnahme an Veranstaltungen der Volksmujahedin, Demonstrationsteilnahme) und keine glaubhafte Vorverfolgung geltend gemacht werden kann. Die Voraussetzungen für ein persönliches Exponieren können zwar durchaus bei weniger bekannten Personen möglich sein; massgeblich hierfür ist aber, dass auf Grund der politischen Überzeugung, Art, Dauer und Intensität der politischen Betätigung einerseits eine Identifizierung möglich ist und andererseits den Betroffenen in den Augen der iranischen Behörden mit überwiegender Wahrscheinlichkeit als einen ernsthaften und in seinem Wirkungsgrad gefährlichen Regimegegner erscheinen lassen. Was die politischen Aktivitäten des Beschwerdeführers nach seiner Ankunft in der Schweiz betrifft, liegen keine glaubhaften Hinweise dafür vor, er habe sich bereits im Iran für die involvierten Organisationen betätigt. Es lässt sich daraus auch keine begründete Furcht vor Verfolgung bei einer Rückkehr in den Iran ableiten, sondern allenfalls ein Interesse am dortigen politischen Geschehen. Der Beschwerdeführer legt nämlich nicht substanziiert dar, in der Schweiz in einer hohen und in der Öffentlichkeit exponierten politischen Kaderstelle einer regimekritischen iranischen Organisation tätig zu sein, welche auf den Umsturz des Regimes in Teheran hinarbeitet. Aus den eingereichten Dokumenten geht lediglich eine untergeordnete Beteiligung an exilpolitischen Aktivitäten hervor. Vorliegend liegen keine Hinweise auf eine erhebliche exilpolitische Tätigkeit vor, zumal die Teilnahme an Demonstrationen - selbst vor der S._______ in Q._______ (vgl. Eingabe vom 17. März 2005) - und die Mitarbeit an Informationsständen und dergleichen den Beschwerdeführer mit überwiegender Wahrscheinlichkeit bei den iranischen Behörden nicht namentlich bekannt gemacht haben dürfte. Auch der Umstand, wonach der Beschwerdeführer den Informationsstand der L._______ vom (...) in O._______ auf seinen Namen angemeldet haben will, vermag zu keiner anderen Betrachtungsweise zu führen. Der Inhalt des Gesuchs und der entsprechenden Bewilligung dürfte nämlich lediglich den lokalen Behörden bekannt sein. Was die im Internet veröffentlichten Fotos und politischen Texte betrifft, ist Folgendes festzuhalten: Das Internet ist ein Massenmedium, das heute von Millionen von Privatpersonen sowie unterschiedlichsten Organisationen und Unternehmen zur freien Willenskundgebung sowie zur Publikation von Artikeln und Dokumentationen genutzt wird. Täglich erscheinen Tausende von neuen Artikeln und Dokumenten auf privaten Homepages. Die Frage, ob der iranische Sicherheitsdienst sämtliche dieser in riesigen Mengen veröffentlichten Dokumente gezielt und umfassend zu überwachen vermag, kann offen bleiben. Der Beschwerdeführer will beim im Internet aufgeschalteten Artikel "U._______" als Autor namentlich angeführt sein (vgl. Eingabe vom 9. Dezember 2005, Beilage 6). Nun lässt sich aber aus diesen Angaben nicht mit Sicherheit auf die Identität des Beschwerdeführers schliessen, zumal allein aus der Kombination des Namens und des Vornamens die Identität nicht einwandfrei erwiesen ist. Der Beschwerdeführer macht denn auch nicht geltend, er trage als einziger im Ausland lebender iranischer Staatsbürger diesen Vor- und Nachnamen. Angesichts der Anonymität des Internets und der Manipulierbarkeit von Homepages kann deshalb aufgrund der geltend gemachten Internetpublikationen noch kein sicherer Rückschluss auf die Person des Beschwerdeführers gezogen werden. Es lässt sich deshalb daraus noch nicht schliessen, dass er im Falle einer Rückkehr in den Iran mit überwiegender Wahrscheinlichkeit aus asylrelevanten Gründen verfolgt würde. Eine grosse Anzahl der im Ausland lebenden iranischen Staatsangehörigen betätigt sich gleichermassen auf diese Weise, was indes bei einer Rückkehr nicht zwingend zu einer asylrelevanten Gefährdung führt. Es bestehen somit vorliegend keine objektiven Anhaltspunkte dafür, dass der Beschwerdeführer wegen der geltend gemachten exilpolitischen Tätigkeiten von den Behörden des Heimatlandes als gefährlicher Regimegegner registriert worden ist. Friedliche Propagandaaktionen in westeuropäischen Staaten werden durchaus unter realistischer Einordnung - des ebenso evidenten wie unpolitischen - Interesses ihrer Landsleute interpretiert, im Gastland nach Möglichkeit ein Aufenthaltsrecht zu erwerben. Zwar erklärt der Beschwerdeführer in seiner Replik vom 3. März 2004 im Zusammenhang mit dem Hungerstreik vom (...), bei einzelnen Teilnehmern habe es sich um anerkannte Flüchtlinge gehandelt, die als notorische harsche Kritiker des Regimes bekannt seien. Deshalb führe die öffentliche Teilnahme an Aktionen an ihrer Seite bereits mit höchster Wahrscheinlichkeit zu Verfolgung im Falle der Rückkehr nach Iran. Da aber der Beschwerdeführer den iranischen Behörden namentlich nicht bekannt sein dürfte, vermag dies an der Beurteilung nichts zu ändern. Bei dieser Sachlage liegt beim Beschwerdeführer auch kein subjektiver Nachfluchtgrund im Sinne von Art. 54 AsylG vor.</w:t>
      </w:r>
    </w:p>
    <w:p>
      <w:r>
        <w:rPr>
          <w:b/>
        </w:rPr>
        <w:t>E. 4.4</w:t>
      </w:r>
    </w:p>
    <w:p>
      <w:r>
        <w:t>Zusammenfassend ist festzustellen, dass der Beschwerdeführer die Flüchtlingseigenschaft nicht erfüllt, weshalb die Vorinstanz das Asylgesuch zu Recht abgewiesen hat. Somit erübrigt es sich, auf die weiteren Beschwerdevorbringen und auf die übrigen als Beweismittel eingereichten Dokumente im Asylpunkt im Einzelnen einzugehen, da sie nicht zu einem anderen Ergebnis zu führen vermöchten.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vgl. Entscheide und Mitteilungen der ARK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m.w.H.).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Aus der aktuellen allgemeinen Lage im Iran ergeben sich keine Vollzughindernisse. Desgleichen sind den Akten keine individuellen Faktoren gegen den Wegweisungsvollzug zu entnehmen. Dem Beschwerdeführer, der über Berufserfahrung verfügt, ist es zumutbar, sich in der Heimat wieder zu reintegrieren.</w:t>
      </w:r>
    </w:p>
    <w:p>
      <w:r>
        <w:rPr>
          <w:b/>
        </w:rPr>
        <w:t>E. 5.10</w:t>
      </w:r>
    </w:p>
    <w:p>
      <w:r>
        <w:t>Nach dem Gesagten ist der Vollzug der Wegweisung somit auch als zumutbar zu bezeichnen.</w:t>
      </w:r>
    </w:p>
    <w:p>
      <w:r>
        <w:rPr>
          <w:b/>
        </w:rPr>
        <w:t>E. 5.11</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5.12</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In seiner Rechtsmitteleingabe vom 24. Dezember 2004 hat der Beschwerdeführer ein Gesuch um Gewährung der unentgeltlichen Rechtspflege gestellt. Gemäss Art. 65 Abs. 1 VwVG kann die Beschwerdeinstanz nach Einreichung der Beschwerde eine bedürftige Partei, deren Begehren nicht zum Vornherein aussichtslos erscheinen, auf Gesuch hin davon befreien, Verfahrenskosten zu bezahlen. Bedürftig ist, wer ohne Beeinträchtigung des notwendigen Lebensunterhaltes die Prozesskosten nicht zu bestreiten vermag. Aufgrund der Aktenlage (Aufnahme der Erwerbstätigkeit im Juni 2005) ist der Beschwerdeführer nicht mehr bedürftig, weshalb die beiden kumulativen Voraussetzungen für die Gewährung der unentgeltlichen Rechtspflege nicht erfüllt sind. Demzufolge ist das Gesuch um Gewährung der unentgeltlichen Rechtspflege abzuweisen.</w:t>
      </w:r>
    </w:p>
    <w:p>
      <w:r>
        <w:rPr>
          <w:b/>
        </w:rPr>
        <w:t>E. 8</w:t>
      </w:r>
    </w:p>
    <w:p>
      <w:r>
        <w:t>Bei diesem Ausgang des Verfahrens sind die Kosten dem Beschwerdeführer aufzuerlegen (Art. 63 Abs. 1 VwVG) und auf insgesamt Fr. 600.-- festzusetzen (Art. 16 Abs. 1 Bst. a VGG i.V.m. Art. 2 und 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