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D-6808/2019 vom 19. Mai 2020</w:t>
      </w:r>
    </w:p>
    <w:p>
      <w:r>
        <w:t>Bundesverwaltungsgericht, 2020-05-19, DE</w:t>
      </w:r>
    </w:p>
    <w:p>
      <w:r>
        <w:rPr>
          <w:b/>
        </w:rPr>
        <w:t xml:space="preserve">Quelle: </w:t>
      </w:r>
      <w:r>
        <w:t>https://mcp.opencaselaw.ch/entscheid/bvger_D-6808_2019</w:t>
      </w:r>
    </w:p>
    <w:p>
      <w:r>
        <w:t>FR: TAF D-6808/2019 du 19 mai 2020</w:t>
      </w:r>
    </w:p>
    <w:p>
      <w:r>
        <w:t>IT: TAF D-6808/2019 del 19 maggio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6 AsylG und Art. 52 Abs. 1 VwVG) ist, vorbehältlich nachfolgender Einschränkung, einzutreten.</w:t>
      </w:r>
    </w:p>
    <w:p>
      <w:r>
        <w:rPr>
          <w:b/>
        </w:rPr>
        <w:t>E. 1.2</w:t>
      </w:r>
    </w:p>
    <w:p>
      <w:r>
        <w:t>Der Spruchkörper wurde dem Beschwerdeführer mit Zwischenverfügung vom 24. Dezember 2019 mitgeteilt. Auf den Antrag auf Mitteilung betreffend die Bildung des Spruchkörpers ist nicht einzutreten (vgl. Teilurteil des BVGer D-1549/2017 vom 2. Mai 2018 E. 4).</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In der Beschwerde werden formelle Rügen erhoben. Diese sind vorab zu beurteilen, da sie allenfalls geeignet wären, eine Kassation der vorinstanzlichen Verfügung zu bewirken.</w:t>
      </w:r>
    </w:p>
    <w:p>
      <w:r>
        <w:rPr>
          <w:b/>
        </w:rPr>
        <w:t>E. 4.2</w:t>
      </w:r>
    </w:p>
    <w:p>
      <w:r>
        <w:t>Der Beschwerdeführer macht geltend, die Gültigkeit der Verfügung sei zweifelhaft, da die Verfügung von zwei Personen in Vertretung unterschrieben worden sei. Die Unterschriften seien aber nicht leserlich, weshalb nicht geprüft werden könne, wer diese Personen seien und ob diese überhaupt berechtigt seien, die Verfügung zu unterschreiben. Ihm seien die Namen und die Funktion der Unterzeichner sowie das Prozedere, welches zur Unterschrift in Vertretung geführt habe, offenzulegen. Das SEM habe den Anspruch auf rechtliches Gehör respektive die Begründungspflicht verletzt, indem es die familiären Verbindungen des Beschwerdeführers und die sich daraus ergebende Gefährdung nicht abgeklärt und gewürdigt habe. Die Aussagen zur aktuellen Ländersituation seien ungenügend begründet. Zudem habe das SEM ihn trotz Antrag nicht erneut angehört. Das SEM habe auch den Sachverhalt mangelhaft festgestellt, indem die familiären Verbindungen zu den LTTE, das exilpolitische Engagement und der Aufenthalt in der Schweiz sowie die Nichtexistenz eines tragfähigen Beziehungsnetzes nicht hinreichend abgeklärt worden seien und die aktuelle Situation in Sri Lanka, die zu einer erhöhten Gefährdung führe, verkannt werde.</w:t>
      </w:r>
    </w:p>
    <w:p>
      <w:r>
        <w:rPr>
          <w:b/>
        </w:rPr>
        <w:t>E. 4.3</w:t>
      </w:r>
    </w:p>
    <w:p>
      <w:r>
        <w:t>Der Einwand, die Verfügung sei ungültig, da sie zweimal "in Vertretung" unterschrieben worden sei, ist unbegründet. Es ist nicht ersichtlich und wird vom Beschwerdeführer auch nicht substanziiert dargelegt, dass die Verfügung auf irregulärem Weg zustande gekommen sein könnte und unberechtigte Personen diese unterzeichnet haben könnten. Der Antrag, das Prozedere, welches zu den Unterschriften geführt habe, sowie die Namen und die Funktion der Unterzeichner offenzulegen, ist daher abzuweisen.</w:t>
      </w:r>
    </w:p>
    <w:p>
      <w:r>
        <w:rPr>
          <w:b/>
        </w:rPr>
        <w:t>E. 4.4</w:t>
      </w:r>
    </w:p>
    <w:p>
      <w:r>
        <w:t>Vorliegend ist weder auf eine Verletzung des rechtlichen Gehörs (vgl. BVGE 2015/10 E. 3.3, BVGE 2016/9 E. 5.1) noch auf eine unrichtige oder unvollständige Sachverhaltsfeststellung (vgl. BVGE 2016/2 E. 4.3) zu schliessen. Der Sachverhalt ist als hinreichend und richtig erstellt zu erachten. Ferner ist das SEM der Begründungspflicht nachgekommen, indem dargelegt wurde, weshalb es die Flüchtlingseigenschaft des Beschwerdeführers bei der aktuellen Lage verneint und eine Rückkehr des Beschwerdeführers für zulässig und zumutbar erachtet. Allein der Umstand, dass die Vorinstanz in ihrer Länderpraxis zu Sri Lanka einer anderen Linie folgt als vom Beschwerdeführer vertreten, und sie aus sachlichen Gründen zu einer anderen Würdigung der Vorbringen (inklusive Risikoanalyse) gelangt, spricht weder für eine Verletzung der Begründungspflicht noch für eine ungenügende Sachverhaltsfeststellung. Vielmehr handelt es sich dabei um eine Frage der materiellen Beurteilung.</w:t>
      </w:r>
    </w:p>
    <w:p>
      <w:r>
        <w:rPr>
          <w:b/>
        </w:rPr>
        <w:t>E. 4.5</w:t>
      </w:r>
    </w:p>
    <w:p>
      <w:r>
        <w:t>Die Vorinstanz war nicht verpflichtet, den Beschwerdeführer erneut anzuhören (vgl. Art. 111c AsylG). Mit der Einreichung eines schriftlichen Asylgesuchs wird das rechtliche Gehör in der Regel wahrgenommen (vgl. BVGE 2009/53 E. 5). Der anwaltlich vertretene Beschwerdeführer konnte seine neuen Vorbringen im Gesuch und in der Beschwerdeschrift ausführlich darlegen.</w:t>
      </w:r>
    </w:p>
    <w:p>
      <w:r>
        <w:rPr>
          <w:b/>
        </w:rPr>
        <w:t>E. 5</w:t>
      </w:r>
    </w:p>
    <w:p>
      <w:r>
        <w:t>Die Beweisanträge (erneute Anhörung, Offenlegung der Quellen, auf welche das SEM seine Lagebeurteilung stützt) sind abzuweisen, da der Sachverhalt hinreichend erstellt ist. Ebenfalls abzuweisen ist der Antrag, wonach abzuklären sei, ob bei der Entführung einer schweizerischen Botschaftsmitarbeiterin am 25. November 2019 Daten des Beschwerdeführers, respektive welche Daten im Allgemeinen erpresst worden seien, zumal eine Verbindung des Beschwerdeführers zu dieser Botschaftsmitarbeiterin nicht substanziiert dargelegt worden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Der Beschwerdeführer macht in seinem neuen Asylgesuch geltend, dass diesen Risikofaktoren aufgrund aktueller Entwicklungen eine erhöhte Geltung zukommen müsse respektive die Schwelle für die Annahme einer Gefährdung zu senken sei. Dieser Einwand ist unbegründet. Die Lageeinschätzung im Referenzurteil E-1866/2015 ist vielmehr auch im Lichte aktueller Entwicklungen in Sri Lanka weiterhin gültig. Am 16. November 2019 wurde Gotabaya Rajapaksa zum neuen Präsidenten Sri Lankas gewählt (vgl. Neue Zürcher Zeitung [NZZ], In Sri Lanka kehrt der Rajapaksa-Clan an die Macht zurück, 17.11.2019; www.theguardian.com/world/2019/nov/17/sri-lanka-presidential-candidate-rajapaksa-premadas-count-continues, abgerufen am 29.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www.aninews.in/news/world/asia/sri-lanka-35-including-presidents-brother-chamal-rajapksa-sworn-in-as-ministers-of-state20191127174753, abgerufen am 29. April 2020). Beobachter und ethnische respektive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Dies ist vorliegend zu verneinen.</w:t>
      </w:r>
    </w:p>
    <w:p>
      <w:r>
        <w:rPr>
          <w:b/>
        </w:rPr>
        <w:t>E. 6.4</w:t>
      </w:r>
    </w:p>
    <w:p>
      <w:r>
        <w:t>Dem SEM kann im Zusammenhang mit der Würdigung der Risikofaktoren auch - entgegen der Behauptung in der Beschwerdeschrift - kein unzulässiges Auseinanderreissen des Sachverhalts vorgeworfen werden.</w:t>
      </w:r>
    </w:p>
    <w:p>
      <w:r>
        <w:rPr>
          <w:b/>
        </w:rPr>
        <w:t>E. 6.5</w:t>
      </w:r>
    </w:p>
    <w:p>
      <w:r>
        <w:t>Der in der Eingabe vom 8. Januar 2020 vorgetragene Sachverhalt, wonach der Beschwerdeführer bisher verschwiegen habe, dass er im Jahre 2011 wegen versuchter illegaler Ausreise inhaftiert gewesen sei und bis zu seiner Ausreise regelmässig eine Unterschrift habe abgeben müssen, ist als nachgeschobene unglaubhafte Behauptung zu erachten, zumal die Erklärung für das bisherige Verschweigen dieser Tatsache, wonach er befürchtet habe, dieses Strafverfahren in Sri Lanka würde sich negativ auf sein Asylverfahren auswirken, nicht überzeugt. Ferner kommt dem eingereichten Bestätigungsschreiben betreffend diesen Sachverhalt aufgrund des möglichen Gefälligkeitscharakters nur sehr beschränkter Beweiswert zu. Zudem überzeugt auch die Erklärung nicht, dass die Verfahrensakten nicht beigebracht werden könnten, da der sri-lankische Anwalt Repressionen fürchte und daher lediglich ein Bestätigungsschreiben habe ausstellen können.</w:t>
      </w:r>
    </w:p>
    <w:p>
      <w:r>
        <w:rPr>
          <w:b/>
        </w:rPr>
        <w:t>E. 6.6</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Dies gilt auch unter Berücksichtigung der jüngsten politischen Entwicklungen in Sri Lanka sowie des Vorbringens auf Beschwerdeebene, es sei dem Umstand Rechnung zu tragen, dass nach einer Entführung einer Angestellten der schweizerischen Botschaft in Sri Lanka am 25. November 2019 zwischen der sri-lankischen und der schweizerischen Regierung eine diplomatische Krise ausgebrochen sei. Wie bereits erwähnt, besteht keinerlei Grund zur Annahme, die allgemeinen politischen Entwicklungen in Sri Lanka könnten sich zum heutigen Zeitpunkt auf den Beschwerdeführer auswirken. Dies gilt auch im Hinblick auf die erwähnten diplomatischen Unstimmigkeiten. Der Vollzug der Wegweisung ist folglich zulässig.</w:t>
      </w:r>
    </w:p>
    <w:p>
      <w:r>
        <w:rPr>
          <w:b/>
        </w:rPr>
        <w:t>E. 8.3</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 Das SEM hat vorliegend richtig festgestellt, auf individueller Ebene seien keine neuen Tatsachen erkennbar, die gegen den Vollzug der Wegweisung sprechen würden. Es kann vollumfänglich auf die entsprechende Erwägung 12.4.2 im Urteil des Bundesverwaltungsgerichts D-911/2019 vom 11. April 2019 verwiesen werden. Bereits in diesem Verfahren wurde im Übrigen in unsubstanziierter Weise behauptet, dass der Beschwerdeführer über kein hinreichendes soziales Netz verfüge.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Bei diesem Ausgang des Verfahrens wären die Kosten dem Beschwerdeführer aufzuerlegen (Art. 63 Abs. 1 VwVG). Da ihm jedoch mit Zwischenverfügung vom 13. Januar 2020 die unentgeltliche Prozessführung gewährt wurde, sind ihm keine Verfahrenskosten aufzuerlegen.</w:t>
      </w:r>
    </w:p>
    <w:p>
      <w:r>
        <w:rPr>
          <w:b/>
        </w:rPr>
        <w:t>E. 10.2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ihm in diesem Zusammenhang unnötig verursachte Kosten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