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D-6806/2019 vom 8. Januar 2020</w:t>
      </w:r>
    </w:p>
    <w:p>
      <w:r>
        <w:t>Bundesverwaltungsgericht, 2020-01-08, DE</w:t>
      </w:r>
    </w:p>
    <w:p>
      <w:r>
        <w:rPr>
          <w:b/>
        </w:rPr>
        <w:t xml:space="preserve">Quelle: </w:t>
      </w:r>
      <w:r>
        <w:t>https://mcp.opencaselaw.ch/entscheid/bvger_D-6806_2019</w:t>
      </w:r>
    </w:p>
    <w:p>
      <w:r>
        <w:t>FR: TAF D-6806/2019 du 8 janvier 2020</w:t>
      </w:r>
    </w:p>
    <w:p>
      <w:r>
        <w:t>IT: TAF D-6806/2019 del 8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1.3</w:t>
      </w:r>
    </w:p>
    <w:p>
      <w:r>
        <w:t>An dieser Stelle ist der Ordnung halber festzuhalten, dass trotz Hinweisen auf mögliche medizinische respektive psychologische Probleme aufgrund der Aktenlage insgesamt kein Anlass zur Annahme besteht, der Beschwerdeführer wäre in seiner Prozessfähigkeit eingeschränkt.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SEM begründete seine Verfügung in zutreffender Weise damit, dass vom Beschwerdeführer bei objektiver Betrachtung lediglich ein rein subjektives Gefühl des Verfolgtseins ersichtlich gemacht wird, welchem keine asylrechtliche Relevanz zukommt, zumal sich den Schilderungen keine objektivierbaren Anhaltspunkte für das Vorliegen einer tatsächlichen Verfolgungssituation aus einem flüchtlingsrechtlich relevanten Motiv entnehmen lassen. Es spricht insgesamt nichts dafür, dass der Beschwerdeführer in seiner Heimat aus einem flüchtlingsrechtlich relevanten Grund - wegen seiner Rasse, Religion, Nationalität, Zugehörigkeit zu einer bestimmten sozialen Gruppe oder wegen seiner politischen Anschauungen - gezielt gegen seine Person gerichteten Verfolgungshandlungen ausgesetzt wäre. Gleichzeitig besteht auch kein Anlass zur Annahme, er hätte aus irgendwelchen anderen Gründen ernsthaft mit Nachstellungen zu rechnen. Das SEM hat somit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ist nicht im Besitze einer Aufenthalts- oder Niederlassungsbewilligung. Praxisgemäss wird eine Wegweisung auch dann nicht verfügt, wenn eine asylsuchende Person grundsätzlich über einen Anspruch auf Erteilung einer Aufenthaltsbewilligung verfügt und diesbezüglich ein Gesuch bei der zuständigen kantonalen Ausländerbehörde bereits hängig ist. Der Beschwerdeführer ist Bürger der Europäischen Union,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w:t>
      </w:r>
    </w:p>
    <w:p>
      <w:r>
        <w:rPr>
          <w:b/>
        </w:rPr>
        <w:t>E. 6.3</w:t>
      </w:r>
    </w:p>
    <w:p>
      <w:r>
        <w:t>Allerdings steht diese Tatsache der Anordnung der Wegweisung vorliegend nicht entgegen, da sich aus dem Umstand, dass er bislang kein Gesuch um Erteilung einer Aufenthaltsbewilligung eingereicht hat, schliessen lässt, dass er sich nicht aus einem der im Freizügigkeitsabkommen genannten Gründe in der Schweiz aufhält, sondern einzig zwecks Einreichung eines Asylgesuches in die Schweiz eingereist ist. Die Anordnung der Wegweisung aus der Schweiz ist demnach zu bestätigen.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erweist sich in Beachtung der massgeblichen völker- und landesrechtlichen Bestimmungen als zulässig (Art. 83 Abs. 3 AIG), da nach vorstehenden Erwägungen weder Hinweise auf eine flüchtlingsrechtlich relevante Verfolgung (Art. 5 Abs. 1 AsylG) bestehen, noch konkrete Anhaltspunkte für eine menschenrechtswidrige Behandlung im Sinne von Art. 3 EMRK ersichtlich sind.</w:t>
      </w:r>
    </w:p>
    <w:p>
      <w:r>
        <w:rPr>
          <w:b/>
        </w:rPr>
        <w:t>E. 7.3</w:t>
      </w:r>
    </w:p>
    <w:p>
      <w:r>
        <w:t>Im Weiteren ist auch von der Zumutbarkeit des Wegweisungsvollzuges auszugehen (Art. 83 Abs. 4 AIG), da weder die in Spanien herrschenden allgemeinen Verhältnisse noch individuelle Umstände gegen eine Rückkehr sprechen.</w:t>
      </w:r>
    </w:p>
    <w:p>
      <w:r>
        <w:rPr>
          <w:b/>
        </w:rPr>
        <w:t>E. 7.4</w:t>
      </w:r>
    </w:p>
    <w:p>
      <w:r>
        <w:t>Schliesslich ist ohne Weiteres von der Möglichkeit des Wegweisungsvollzugs nach Spanien auszugehen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mit der Beschwerde gestellten Gesuche um Gewährung der unentgeltlichen Prozessführung und amtlichen Rechtsverbeiständung im Sinne von Art. 65 Abs. 1 VwVG in Verbindung mit Art. 102m AsylG sind abzuweisen, da die Begehren - wie sich aus den vorstehenden Erwägungen ergibt - als aussichtlos zu bezeichnen sind, weshalb die Voraussetzungen für die Gewährung der unentgeltlichen Rechtspflege nicht erfüllt sind.</w:t>
      </w:r>
    </w:p>
    <w:p>
      <w:r>
        <w:rPr>
          <w:b/>
        </w:rPr>
        <w:t>E. 9.2</w:t>
      </w:r>
    </w:p>
    <w:p>
      <w:r>
        <w:t>Die Kosten des Verfahrens sind daher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