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D-67/2011 vom 13. Mai 2011</w:t>
      </w:r>
    </w:p>
    <w:p>
      <w:r>
        <w:t>Bundesverwaltungsgericht, 2011-05-13, DE</w:t>
      </w:r>
    </w:p>
    <w:p>
      <w:r>
        <w:rPr>
          <w:b/>
        </w:rPr>
        <w:t xml:space="preserve">Quelle: </w:t>
      </w:r>
      <w:r>
        <w:t>https://mcp.opencaselaw.ch/entscheid/bvger_D-67_2011</w:t>
      </w:r>
    </w:p>
    <w:p>
      <w:r>
        <w:t>FR: TAF D-67/2011 du 13 mai 2011</w:t>
      </w:r>
    </w:p>
    <w:p>
      <w:r>
        <w:t>IT: TAF D-67/2011 del 13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Bundesgesetztes vom 20. Dezember 1068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6.1</w:t>
      </w:r>
    </w:p>
    <w:p>
      <w:r>
        <w:t>Der Beschwerdeführer begründete sein Asylgesuch im Wesentlichen damit, er sei im Jahre 2006 mehrere Monate lang gezwungen gewesen, wö­chentlich einmal in einem Armeecamp zu erscheinen und seine Unter­schrift zu leisten, da man ihn verdächtigt habe, Verbindungen zu den LTTE zu unterhalten. In der Folge habe er sich aus Angst um sein Leben der HRC gestellt, welche ihn der Polizei übergeben habe. Daraufhin sei er zu­nächst drei Monate lang im Gefängnis in C._______ inhaftiert gewesen und anschliessend Anfang März 2008 in ein Rehabilitierungszentrum ver­bracht worden, wo er bis zu seiner Freilassung Mitte Juli 2009 geblieben sei. Angesichts des Erlebten hege er Angst vor künftigen behördlichen Übergriffen.</w:t>
      </w:r>
    </w:p>
    <w:p>
      <w:r>
        <w:rPr>
          <w:b/>
        </w:rPr>
        <w:t>E. 6.2</w:t>
      </w:r>
    </w:p>
    <w:p>
      <w:r>
        <w:t>Es ist verständlich, dass der Beschwerdeführer aufgrund der jahre­lang erlittenen Behelligungen persönlich Ängste vor künftigen behördli­chen Schikanen hegt. Nichtsdestotrotz ist mit der Vorinstanz festzuhalten, dass objektiv betrachtet nichts auf eine akute Gefährdung des Beschwerdeführers hindeutet: Zunächst steht aufgrund der Angaben des Beschwerdeführers anlässlich seiner Botschaftsanhörung fest, dass er am 13. Juli 2009 ohne Auflagen aus dem Rehabilitierungszentrum in D._______ entlassen worden ist. Dies deutet klar darauf hin, dass ihn die heimatlichen Behörden in keiner Weise mehr verdächtigt haben, mit den LTTE kollaboriert zu haben, was im Übrigen auch seiner Aussage ent­spricht, nie irgendetwas mit den LTTE zu tun gehabt zu haben (vgl. Bot­schaftsanhörung vom 4. August 2010 S. 4 und 6). Hinzu tritt die Tatsache, dass der Beschwerdeführer seit seiner Rückkehr an seinen Heimatort B._______ im August 2009 bis heute keinen Übergriffen beziehungsweise Behelligungen mehr ausgesetzt war, was ebenfalls dagegen spricht, dass er heute noch in Verbindung mit den LTTE gebracht wird. Diese Einschät­zung harmoniert mit der Tatsache, dass der Krieg zwischen der srilanki­schen Regierung und den separatistischen Befreiungstigern Mitte Mai 2009 mit einem militärischen Sieg der srilankischen Armee über die LTTE zu Ende gegangen ist, und die LTTE heute über keine handlungsfähigen Strukturen mehr zu verfügen scheinen. So besehen bestehen keine hinrei­chenden Anhaltspunkte dafür, dass der Beschwerdeführer zufolge seiner früheren Behelligungen wegen mutmasslicher LTTE-Unterstützung künfti­gen behördlichen Verdächtigungen und Übergriffen ausgesetzt sein könnte. An dieser Sichtweise ändert auch der Umstand nichts, dass die srilankische Armee in der jüngeren Vergangenheit auch ehemalige aus Rehabilitierungszentren entlassene Personen Verhören unterzogen hat, stehen diese doch der summarischen Übersetzung eines vom Beschwerdeführer auf Beschwerdeebene eingereichten Artikels aus der Zeitung J._______ vom (...) zufolge in einem Zusammenhang mit einem Tötungsdelikt an einem (...), an dessen Aufklärung grundsätzlich ein rechtsstaatlich begründetes Interesse besteht. Darüber hinaus hat der Beschwerdeführer nicht geltend gemacht, dass er in diesem Zusammenhang ebenfalls zu einem Verhör vorgeladen worden wäre.</w:t>
      </w:r>
    </w:p>
    <w:p>
      <w:r>
        <w:rPr>
          <w:b/>
        </w:rPr>
        <w:t>E. 6.3</w:t>
      </w:r>
    </w:p>
    <w:p>
      <w:r>
        <w:t>Soweit der Beschwerdeführer auf das ihm widerfahrene Unrecht als solches hinweist (vgl. Botschaftsanhörung vom 4. August 2010 S. 6 un­ten), bleibt mit der Vorinstanz festzuhalten, dass die Asylgewährung grundsätzlich nicht dazu dienen kann, einen Ausgleich für vergangenes Unrecht zu schaffen, sondern alleine bezweckt, Schutz vor künftiger Verfolgung zu gewähren. Da im vorliegenden Fall indessen - wie unter E. 6.2 dargelegt - keine hinreichenden Anhaltspunkte für eine mit beachtlicher Wahrscheinlichkeit und in absehbarer Zukunft drohende Verfolgung des Beschwerdeführers bestehen, sind die Voraussetzungen für die Annahme einer aktuellen Verfolgungsfurcht vorliegend als nicht erfüllt zu be­trachten.</w:t>
      </w:r>
    </w:p>
    <w:p>
      <w:r>
        <w:rPr>
          <w:b/>
        </w:rPr>
        <w:t>E. 6.4</w:t>
      </w:r>
    </w:p>
    <w:p>
      <w:r>
        <w:t>Was die geltend gemachte Perspektivelosigkeit des eigenen Lebens (vgl. Beschwerde in fine), die misslichen wirtschaftlichen Verhältnisse der Familie und die bei einer Einreise in die Schweiz für den Beschwerdefüh­rer gegebene Chance, zu deren Wohlergehen finanziell beitragen zu kön­nen (vgl. Botschaftsanhörung vom 4. August 2010 S. 6 unten und S. 8 un­ten), anbelangt, ist festzuhalten, dass es sich hierbei um Sachumstände handelt, welche im Rahmen eines Asylgesuchs aus dem Ausland nicht von Bedeutung sind, da einzig zu prüfen ist, ob eine Gefährdung im Sinne von Art. 3 AsylG vorliegt oder nicht, worunter missliche wirtschaftliche und soziale Lebensumstände indes nicht subsumiert werden können.</w:t>
      </w:r>
    </w:p>
    <w:p>
      <w:r>
        <w:rPr>
          <w:b/>
        </w:rPr>
        <w:t>E. 6.5</w:t>
      </w:r>
    </w:p>
    <w:p>
      <w:r>
        <w:t>Zusammenfassend ist festzuhalten, dass es dem Beschwerdeführer nicht gelungen ist, eine Verfolgung im Sinne von Art. 3 AsylG glaubhaft zu machen. Es erübrigt sich daher, auf weitere Vorbringen in der Be­schwerde einzugehen, da diese am Ergebnis nichts zu ändern vermögen.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