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D-6793/2006 vom 16. November 2009</w:t>
      </w:r>
    </w:p>
    <w:p>
      <w:r>
        <w:t>Bundesverwaltungsgericht, 2009-11-16, FR</w:t>
      </w:r>
    </w:p>
    <w:p>
      <w:r>
        <w:rPr>
          <w:b/>
        </w:rPr>
        <w:t xml:space="preserve">Quelle: </w:t>
      </w:r>
      <w:r>
        <w:t>https://mcp.opencaselaw.ch/entscheid/bvger_D-6793_2006</w:t>
      </w:r>
    </w:p>
    <w:p>
      <w:r>
        <w:t>FR: TAF D-6793/2006 du 16 novembre 2009</w:t>
      </w:r>
    </w:p>
    <w:p>
      <w:r>
        <w:t>IT: TAF D-6793/2006 del 16 novembre 2009</w:t>
      </w:r>
    </w:p>
    <w:p>
      <w:pPr>
        <w:pStyle w:val="Heading2"/>
      </w:pPr>
      <w:r>
        <w:t>Regeste</w:t>
      </w:r>
    </w:p>
    <w:p>
      <w:r>
        <w:t>Asile et renvoi</w:t>
      </w:r>
    </w:p>
    <w:p>
      <w:pPr>
        <w:pStyle w:val="Heading2"/>
      </w:pPr>
      <w:r>
        <w:t>Erwägungen</w:t>
      </w:r>
    </w:p>
    <w:p>
      <w:r>
        <w:rPr>
          <w:b/>
        </w:rPr>
        <w:t>E. 1.1</w:t>
      </w:r>
    </w:p>
    <w:p>
      <w:r>
        <w:t>Le Tribunal administratif fédéral (le Tribunal) statue de manière définitive sur les recours contre les décisions, au sens de l'art. 5 de la loi fédérale du 20 décembre 1968 sur la procédure administrative (PA, RS 172.021), rendues par l'ODM en matière d'asile et de renvoi (art. 6a al. 1 et 105 LAsi) en relation avec les art. 31 à 33 de la loi du 17 juin 2005 sur le Tribunal administratif fédéral (LTAF, RS 173.32) (cf. art. 33 let. d LTAF et 83 let. d ch. 1 de la loi du 17 juin 2005 sur le Tribunal fédéral [LTF, RS 173.110] ; Arrêts du Tribunal administratif fédéral suisse [ATAF] 2007/7 consid. 1.1 p. 57).</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celle de l'autorité intimée.</w:t>
      </w:r>
    </w:p>
    <w:p>
      <w:r>
        <w:rPr>
          <w:b/>
        </w:rPr>
        <w:t>E. 1.3</w:t>
      </w:r>
    </w:p>
    <w:p>
      <w:r>
        <w:t>Les recours qui sont pendants devant les commissions fédérales de recours ou d'arbitrage ou devant les services de recours des départements au 31 décembre 2006 sont traités depuis le 1er janvier 2007 par le Tribunal dans la mesure où il est compétent (art. 53 al. 2 LTAF première phrase).</w:t>
      </w:r>
    </w:p>
    <w:p>
      <w:r>
        <w:rPr>
          <w:b/>
        </w:rPr>
        <w:t>E. 1.4</w:t>
      </w:r>
    </w:p>
    <w:p>
      <w:r>
        <w:t>Le nouveau droit de procédure s'applique (art. 53 al. 2 LTAF dernière phrase).</w:t>
      </w:r>
    </w:p>
    <w:p>
      <w:r>
        <w:rPr>
          <w:b/>
        </w:rPr>
        <w:t>E. 1.5</w:t>
      </w:r>
    </w:p>
    <w:p>
      <w:r>
        <w:t>L'intéressé a qualité pour recourir. Présenté dans la forme et le délai prescrits par la loi, le recours est recevable (art. 48ss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par ailleurs de la situation dans l'État concerné et des éléments tels qu'ils se présentent au moment où il se prononce (cf. notamment ATAF 2008/12 consid. 5.2 p. 154s. et ATAF 2008/4 consid. 5.4 p. 38s. ; JICRA 2000 n° 2 consid. 8 p. 20ss, JICRA 1997 n° 27 consid. 4f p. 211, JICRA 1995 n° 5 consid. 6a p. 43, JICRA 1994 n° 6 consid. 5 p. 52). Il prend ainsi en considération l'évolution de la situation intervenue depuis le dépôt de la demande d'asile.</w:t>
      </w:r>
    </w:p>
    <w:p>
      <w:r>
        <w:rPr>
          <w:b/>
        </w:rPr>
        <w:t>E. 2.4</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(Max Kummer, Grundriss des Zivilprozessrechts, 4e éd., Berne 1984, p. 135 ; Walter Kälin, Grundriss des Asylverfahrens, Bâle / Francfort-sur-le-Main 1990, p. 302s.). Quand bien même la vraisemblance autorise l'objection et le doute, ceux-ci doivent toutefois paraître d'un point de vue objectif moins importants que les éléments parlant en faveur de la probabilité des allégations (JICRA 1996 n° 27 consid. 3c/aa p. 263 ; Kälin, op. cit., p. 303).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(JICRA 1996 n° 28 consid. 3a p. 270 et JICRA 1993 n° 11 p. 67ss ; Kälin, op. cit., p. 312 ; Mario Gattiker, La procédure d'asile et de renvoi, Berne 1999, p. 53ss). En outre, il est admis que chaque personne qui a vécu une situation particulière doit être en mesure de la décrire de manière détaillée, précise et concrète, la vraisemblance de propos trop généraux, voire stéréotypés étant généralement écartée (cf. notamment JICRA 1996 n° 28 consid. 3a p. 270).</w:t>
      </w:r>
    </w:p>
    <w:p>
      <w:r>
        <w:rPr>
          <w:b/>
        </w:rPr>
        <w:t>E. 2.5</w:t>
      </w:r>
    </w:p>
    <w:p>
      <w:r>
        <w:t>En l'occurrence, A._______ a, d'une part, allégué une crainte de futures persécutions en raison notamment de son extraction (famille kurde d'opposants au régime), de ses activités pour le PDKI déployées en Iran, de son évasion et de sa fuite en janvier 2003. D'autre part, il a fait valoir des motifs subjectifs postérieurs à sa fuite d'Iran, à savoir son engagement politique en Suisse en tant que membre de la formation politique susmentionnée.</w:t>
      </w:r>
    </w:p>
    <w:p>
      <w:r>
        <w:rPr>
          <w:b/>
        </w:rPr>
        <w:t>E. 2.6</w:t>
      </w:r>
    </w:p>
    <w:p>
      <w:r>
        <w:t>S'agissant des motifs qui auraient conduit l'intéressé à fuir l'Iran en janvier 2003, le Tribunal soulignera tout d'abord, à l'instar de l'ODM qu'il est peu plausible, dans le contexte décrit, que l'intéressé se soit évadé de la prison de B._______ en janvier 2003 dans les circonstances décrites (transfert dans un hôpital de la région, suite à la simulation d'un malaise, après avoir subi des mauvais traitements durant quelques mois afin qu'il parle). De surcroît, la description du passage au poste de contrôle en (...) 2002, de la détention qui s'en est suivie ainsi que de la période de vie clandestine en Iran manque de consistance et de détails révélateurs d'un vécu réel. Dans ces conditions, le recourant n'a pas rendu vraisemblable qu'à la date de son départ d'Iran, il était menacé, dans un avenir prochain et selon une haute probabilité, de persécutions répondant aux exigences de l'art. 3 LAsi (crainte objective et subjective ; cf. à ce sujet notamment ATAF 2008/34 consid. 71 p. 507 ; JICRA 2005 n° 21 consid. 7 p. 193 et JICRA 2004 n° 1 consid. 6a p. 9).</w:t>
      </w:r>
    </w:p>
    <w:p>
      <w:r>
        <w:rPr>
          <w:b/>
        </w:rPr>
        <w:t>E. 2.7</w:t>
      </w:r>
    </w:p>
    <w:p>
      <w:r>
        <w:t>Cela étant,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politiques exercées dans le pays d'accueil sont arrivées à la connaissance des autorités du pays d'origine et que le comportement de l'étranger concerné entraînerait une condamnation illégitime de la part de ces autorités (cf. JICRA 1995 n° 9 consid. 8c p. 91 et référence citée ; ALBERTO ACHERMANN / CHRISTINA HAUSAMMANN, Handbuch des Asylrechts, Berne / Stuttgart 1991, p. 111s.; les mêmes auteurs, Les notions d'asile et de réfugié en droit suisse, in : Kälin [éd.], Droit des réfugiés, enseignement de 3ème cycle de droit 1990, Fribourg 1991, p. 45; SAMUEL WERENFELS, Der Begriff des Flüchtlings im schweizerischen Asylrecht, Berne 1987, p. 352ss ; PETER KOCH / BENDICHT TELLENBACH, Die subjektiven Nachfluchtgründe, Asyl 1986/2, p. 2).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Enfin,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2000 n° 16 consid. 5a p. 141s. et réf. cit., JICRA 1995 n° 7 p. 63ss et le consid. 8 p. 70 en particulier). Dans le cas présent, il convient de souligner que bon nombre de points du récit du recourant ne sauraient être remis en cause. Il est ainsi établi que l'intéressé, d'origine ethnique kurde, a vécu à B._______ (Kurdistan iranien). En outre, de par son extraction familiale, rien ne permet d'écarter la thèse selon laquelle il a effectivement soutenu les membres de ce parti kurde d'opposition PDKI avant d'être dénoncé. Il est ainsi plausible que le recourant ait voulu aider les membres de son ethnie dans la mesure de ses moyens, ait été introduit dans cette cause par une connaissance et ait exercé ses activités pro-kurdes grâce à une personne de contact travaillant en faveur du PDKI en se rendant dans différents endroits du Kurdistan irakien, où il en profitait pour rendre visite à des membres de sa famille (notamment un cousin de son père établi à E._______ en Irak, un responsable du PDKI) et rapporter des médicaments. Les déclarations de l'intéressé relatives à ces activités et sur l'organisation et la structure du PDKI sont suffisamment précises, convaincantes, étayées d'éléments significatifs du vécu et exemptes de divergences ou de contradictions portant sur des points essentiels pour en admettre la vraisemblance. A cela s'ajoute que le recourant présente un profil suspect, de par son appartenance à l'ethnie kurde et son domicile antérieur situé dans le Kurdistan iranien - où la situation sécuritaire et des libertés publiques s'est sérieusement dégradée depuis l'été 2005 - (cf. UK Home Office, Country of Origin Information Report, Iran, avril 2009, pts 20.07ss, p. 121ss ; Human Rights Watch, Iran : Freedom of Expression and Association in the Kurdish Regions, janvier 2009, p. 8s), mais aussi parce qu'il a quitté l'Iran depuis plus de six ans et demi. Il est dès lors probable que l'intéressé, après une si longue période d'exil notamment, attirera l'attention des autorités iraniennes, que celles-ci ne se contenteront alors pas d'effectuer un simple contrôle de routine lors de son arrivée à la frontière, partant, qu'elles l'identifieront de plus comme étant de la famille d'ex-opposants politiques et ayant lui-même subi de la prison, à ce même titre. Dans ce contexte, la découverte de ses activités politiques en Suisse n'est en outre pas exclue. Il est ici rappelé que sa soeur est décédée en prison en (...) - fait non contesté par l'ODM - et son père y est mort dans des circonstances troubles quelques années plus tard.</w:t>
      </w:r>
    </w:p>
    <w:p>
      <w:r>
        <w:rPr>
          <w:b/>
        </w:rPr>
        <w:t>E. 2.8</w:t>
      </w:r>
    </w:p>
    <w:p>
      <w:r>
        <w:t>A cet égard, le Tribunal n'ignore pas que les contrôles effectués aux frontières par les autorités iraniennes sont minutieux. Les citoyens de retour de l'étranger sont fouillés et interrogés afin de déceler toute preuve d'activités antigouvernementales. Ils font également l'objet d'une vérification lors du contrôle des passeports, permettant de déterminer s'ils sont connus des forces de sécurité iraniennes. Si les services de sécurité soupçonnent un migrant de retour d'être impliqué dans un crime grave ou dans une activité politique de haut niveau contre le régime, celui-ci peut être arrêté (cf. notamment Information sur le rapatriement des demandeurs d'asile en Iran, 7 décembre 2005, en ligne sur le site de la Commission de l'immigration et du statut de réfugié du Canada &gt; Cartables nationaux de documentation &gt; Iran &gt; 7 mars 2007 &gt; IRN100758.EF, visité le 13 octobre 2009 ; Information sur les procédures d'entrée et de sortie aux aéroports et pour traverser les frontières terrestres, 3 avril 2006, en ligne sur le site de la Commission de l'immigration et du statut de réfugié du Canada &gt; Cartables nationaux de documentation &gt; Iran &gt; 3 avril 2006 &gt; IRN101052.EF, visité le 13 octobre 2009). On ne saurait dès lors exclure qu'en cas de retour en Iran, l'intéressé soit soumis à des interrogatoires particulièrement « poussés » et à des mauvais traitements. Il est en effet avéré que les autorités iraniennes n'hésitent pas à recourir à des méthodes radicales d'interrogatoire, notamment lorsqu'elles sont confrontées à des personnes suspectées d'activités antigouvernementales (cf. notamment : UK Home Office, Country of Origin Information Report, Iran, avril 2009, pt 27 ; Amnesty International, Rapport annuel 2009).</w:t>
      </w:r>
    </w:p>
    <w:p>
      <w:r>
        <w:rPr>
          <w:b/>
        </w:rPr>
        <w:t>E. 2.9</w:t>
      </w:r>
    </w:p>
    <w:p>
      <w:r>
        <w:t>Au vu de ce qui précède, le Tribunal conclut que les éléments du dossier plaidant en faveur de la vraisemblance des motifs d'asile avancés par le recourant sont prépondérants. Les motifs d'asile du recourant subséquents à sa fuite d'Iran au sens de l'art. 54 LAsi, à savoir qu'il risque d'être poursuivi par les autorités iraniennes en cas de retour dans son pays pour son soutien au PDKI, et compte tenu des facteurs particulièrement défavorables tenant à son extraction familiale et aux activités politiques déployés par certains membres de sa famille, doivent être admis. A cela s'ajoute que les activités politiques déployées par l'intéressé en Suisse, même sans fonction dirigeante notoire, ne feraient qu'aggraver sa situation au cas où elles auraient été portées à la connaissance des autorités iraniennes. On rappellera dans ce contexte que les membres et sympathisants de ce parti d'opposition sont menacés d'exécution extra-judiciaires, de condamnations à mort et de détentions suivies de tortures (cf. notamment UK Home Office, Country of Origin Information Report, Iran, avril 2009, p. 80ss et 121ss ; US Department of State, 2008 Human Rights Report : Iran, février 2009 ; International Federation for Human Rights [FIDH], Iran, death penalty [A state terror policy], avril 2009, spéc. p. 35s.). L'intéressé encourt de ce fait un risque de sérieux préjudices, au sens de l'art. 3 al. 1 et 2 LAsi, en cas de retour dans son pays d'origine. Il remplit donc les conditions permettant la reconnaissance de la qualité de réfugié (cf. art. 3 al. 1 LAsi).</w:t>
      </w:r>
    </w:p>
    <w:p>
      <w:r>
        <w:rPr>
          <w:b/>
        </w:rPr>
        <w:t>E. 3</w:t>
      </w:r>
    </w:p>
    <w:p>
      <w:r>
        <w:t>Le recours est donc partiellement admis et la décision attaquée annulée. L'ODM est invité à reconnaître la qualité de réfugié à A._______. L'asile ne lui est toutefois pas accordé (cf. art 54 LAsi). La mesure de renvoi est dès lors confirmée dans son principe (cf. art. 44 al. 1 LAsi). En vertu de l'art. 5 al. 1 LAsi qui reprend en droit interne le principe du non-refoulement généralement reconnu en droit international public et énoncé expressément à l'art. 33 de la Convention du 28 juillet 1951 relative au statut des réfugiés (Conv., RS 0.142.30), l'ODM est invité à octroyer l'admission provisoire au recourant.</w:t>
      </w:r>
    </w:p>
    <w:p>
      <w:r>
        <w:rPr>
          <w:b/>
        </w:rPr>
        <w:t>E. 4</w:t>
      </w:r>
    </w:p>
    <w:p>
      <w:r>
        <w:t>La demande d'assistance judiciaire partielle est admise, les conclusions du recours ne paraissant pas d'emblée vouées à l'échec (art. 65 al. 1 PA). Il n'y a pas lieu de percevoir de frais de procédure.</w:t>
      </w:r>
    </w:p>
    <w:p>
      <w:r>
        <w:rPr>
          <w:b/>
        </w:rPr>
        <w:t>E. 5</w:t>
      </w:r>
    </w:p>
    <w:p>
      <w:r>
        <w:t>Le Tribunal ayant partiellement fait droit aux conclusions du recours, l'intéressé peut prétendre à l'allocation de dépens réduits conformément aux art. 64 al. 1 PA et 7 al. 2 du règlement du 21 février 2008 concernant les frais, dépens et indemnités fixés par le Tribunal administratif fédéral (FITAF, RS 173.320.2). En l'espèce, en l'absence de note de frais, il y a lieu d'attribuer au recourant, qui a partiellement obtenu gain de cause, une indemnité équitable à titre de dépens pour les « frais nécessaires » encourus dans le cadre de la présente procédure de recours, dont la quotité - compte tenu du degré de complexité de la cause et du travail accompli in casu - est fixée ex aequo et bono à Fr. 1'000.--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