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D-6772/2011 vom 20. August 2012</w:t>
      </w:r>
    </w:p>
    <w:p>
      <w:r>
        <w:t>Bundesverwaltungsgericht, 2012-08-20, DE</w:t>
      </w:r>
    </w:p>
    <w:p>
      <w:r>
        <w:rPr>
          <w:b/>
        </w:rPr>
        <w:t xml:space="preserve">Quelle: </w:t>
      </w:r>
      <w:r>
        <w:t>https://mcp.opencaselaw.ch/entscheid/bvger_D-6772_2011</w:t>
      </w:r>
    </w:p>
    <w:p>
      <w:r>
        <w:t>FR: TAF D-6772/2011 du 20 août 2012</w:t>
      </w:r>
    </w:p>
    <w:p>
      <w:r>
        <w:t>IT: TAF D-6772/2011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 unter Vorbehalt der nachstehenden Ausführungen (E. 1.4.) - einzutreten.</w:t>
      </w:r>
    </w:p>
    <w:p>
      <w:r>
        <w:rPr>
          <w:b/>
        </w:rPr>
        <w:t>E. 1.4</w:t>
      </w:r>
    </w:p>
    <w:p>
      <w:r>
        <w:t>Der Beschwerde kommt von Gesetzes wegen aufschiebende Wirkung zu (Art. 55 Abs. 1 VwVG). Zudem hat das BFM in der angefochtenen Verfügung einer allfälligen Beschwerde die aufschiebende Wirkung nicht entzogen (vgl. Art. 55 Abs. 2 VwVG). Demzufolge ist auf das Begehren um Zuerkennung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[vormaligen] Schweizerischen Asylrekurskommission [EMARK] 2005 Nr. 21 E. 6.1 S. 190 f.).</w:t>
      </w:r>
    </w:p>
    <w:p>
      <w:r>
        <w:rPr>
          <w:b/>
        </w:rPr>
        <w:t>E. 5.1</w:t>
      </w:r>
    </w:p>
    <w:p>
      <w:r>
        <w:t>Als Begründung seines ablehnenden Asylentscheids gab das BFM hauptsächlich an, dass sich die Beschwerdeführerin auf eine konstruierte Asylbegründung stütze und ihre Vorbringen somit den Anforderungen an die Glaubhaftmachung im Sinne von Art. 7 AsylG nicht standhielten. Beispielsweise erscheine es wenig wahrscheinlich, dass die Beschwerdeführerin trotz erheblicher Misshandlungen durch Mitglieder der Zanu PF Youth am 21. Februar 2010 weiterhin zu Hause geblieben sei, obwohl jene angekündigt hätten, sie erneut heimzusuchen. Sodann wirke der Ablauf des angeblichen Überfalls vom 24. Februar 2010 konstruiert. Es erscheine eher ungewöhnlich, dass die Angreifer vorbeigekommen seien, um sie und ihr Haus anzuzünden, aber kein Benzin dabeigehabt hätten, und dass nur ein Angreifer bei ihr geblieben sei, als die anderen Benzin aufgetrieben hätten. Wenig plausibel sei auch die Angabe der Beschwerdeführerin, nicht zu wissen, ob der Dorfälteste D._______, an welchen sie sich nach dem Brand des grossmütterlichen Hauses gewendet habe, der Zanu PF Youth und der Regierung angehöre, habe jener die Politik von Präsident Mugabe doch öffentlich kritisiert. Zudem sei er damals mit seinen weit mehr als 90 Jahren kein Jugendlicher mehr gewesen. Des Weiteren prägten sich Personen, die mit ihnen nicht zustehenden Dokumenten reisten, erfahrungsgemäss die darin vermerkten Personalien genau ein, da sie an der Aussengrenze des Schengenraums damit zu rechnen hätten, ihre Reisepapiere selbst vorzuweisen und allenfalls auch Fragen der Kontrollorgane zu beantworten. Daher dränge sich auf Grund der Tatsache, dass die Beschwerdeführerin nicht in der Lage gewesen sei, nähere Angaben zum Reisepass respektive zu den darin vermerkten Personalien zu machen, der Schluss auf, dass sie auf legalem Weg nach Europa gelangt und im Besitz eines Reisepasses sei. Die Beschwerdeführerin dürfte ihren Reisepass den schweizerischen Asylbehörden vorenthalten, um die Ausreiseumstände sowie weitere Angaben zu verheimlichen.</w:t>
      </w:r>
    </w:p>
    <w:p>
      <w:r>
        <w:rPr>
          <w:b/>
        </w:rPr>
        <w:t>E. 5.2</w:t>
      </w:r>
    </w:p>
    <w:p>
      <w:r>
        <w:t>In der Beschwerde wird vorab - mit Hinweis auf die aktuelle Situation in Zimbabwe - am Wahrheitsgehalt des im vorinstanzlichen Verfahren geltend gemachten Sachverhalts festgehalten und hinsichtlich der vom BFM angezweifelten Vorbringen der Beschwerdeführerin vorgebracht, dass diese zumindest dem reduzierten Beweismass genügten. Dazu wird ausgeführt, dass das Ereignis vom 21. Februar 2010 dem Alltag in Zimbabwe entspreche. Die Mitglieder der Zanu PF Youth hielten mittels Gewalt und Drohungen die Angst in der Bevölkerung vor der Regierung aufrecht und versuchten so, kritische Stimmen zum Schweigen zu bringen. Die Beschwerdeführerin sei daher davon ausgegangen, dass die Drohung bezüglich Rückkehr - als Teil der Strategie der Zanu PF Youth - lediglich dazu gedient habe, ihr Angst einzujagen. Sie habe nicht damit rechnen müssen, dass die Angreifer ihre Drohung wahrmachten, zumal sie sich nicht politisch engagiert und sich nur anlässlich der Beerdigung ihrer Grossmutter kritisch über die Regierung geäussert habe. Es sei somit plausibel, dass sie nicht bereits am 21. Februar 2010 geflüchtet sei. Des Weiteren müsse man sich bewusst sein, dass die Zanu PF Youth eine schlecht organisierte jugendliche Miliz sei, deren Mission einzig darin bestehe, im Namen der Regierung ziellos Gräueltaten zu verrichten. Da die Jugendlichen hierfür nicht bestraft würden, bräuchten sie ihre Handlungen nicht zu planen. Es sei ausserdem möglich, dass die Angreifer davon ausgegangen seien, bei der Beschwerdeführerin oder in der näheren Umgebung Benzin auftreiben zu können. Aus diesen Gründen sei es nicht unwahrscheinlich, dass die Angreifer am 24. Februar 2010 ohne Benzin in den Laden der Beschwerdeführerin gekommen seien, obwohl sie vorgehabt hätten, diese und den Laden anzuzünden. Die Lebenserfahrung zeige zudem, dass zur Bewachung einer gefesselten Frau ein einziger grosser Mann genüge, so dass auch die diesbezüglichen Vorbringen der Beschwerdeführerin glaubhaft seien. Ferner sei es unter anderem aufgrund des mangelnden politischen Interesses der Beschwerdeführerin durchaus möglich, dass diese nicht um das stark opponierende Verhalten des Dorfältesten D._______ gewusst habe. Zu den Ausführungen des BFM bezüglich der Einreiseumstände wurde in der Beschwerde ausgeführt, dass die Beschwerdeführerin das BFM auf ihre Anwesenheit in der Schweiz in den Jahren (...) und die Möglichkeit der Abklärung ihrer Identität hingewiesen habe. Ein Interesse ihrerseits, die Einreiseumstände falsch darzustellen, sei daher nicht erkennbar. Demgegenüber sei es wahrscheinlich, dass sie mit gefälschten Dokumenten gereist sei und diese nach der Ankunft in Italien ihrem Schlepper habe zurückgeben müssen. Zudem sei es nachvollziehbar, dass die Beschwerdeführerin am 24. Februar 2010 ohne ihre Dokumente aus ihrem Laden geflüchtet sei, diese in der Folge im Laden verbrannt seien und sie daher ohne ihre Reisepapiere habe flüchten müssen.</w:t>
      </w:r>
    </w:p>
    <w:p>
      <w:r>
        <w:rPr>
          <w:b/>
        </w:rPr>
        <w:t>E. 5.3</w:t>
      </w:r>
    </w:p>
    <w:p>
      <w:r>
        <w:t>Nach Prüfung der Akten durch das Gericht ist - in Übereinstimmung mit der Vorinstanz - festzustellen, dass die Asylvorbringen der Beschwerdeführerin aufgrund diverser Ungereimtheiten den Anforderungen an die Glaubhaftigkeit gemäss Art. 7 AsylG nicht standzuhalten vermögen, weshalb diesbezüglich vorab auf die zutreffenden vorinstanzlichen Erwägungen zu verweisen ist (vgl. E. 5.1 vorstehend). Die Beschwerdevorbringen sind nicht geeignet, zu einer von der Vorinstanz abweichenden Betrachtungsweise zu führen. Es ist entgegen den Ausführungen in der Beschwerde insbesondere nicht nachvollziehbar, weshalb die Beschwerdeführerin nach angeblich erfolgten Misshandlungen am 21. Februar 2010 die Drohung der Angreifer bezüglich Rückkehr nicht ernst genommen haben soll. Erfahrungsgemäss treffen misshandelte Personen Vorkehrungen, vor allem, wenn sie von einer Gruppierung wie der Zanu PF Youth bedroht werden, die - wie auf Beschwerdeebene in den Ausführungen zum Ereignis vom 24. Februar 2010 vorgebracht - ziellos Gräueltaten verübt. Ebenfalls vermögen die Einwände bezüglich des Vorhalts der Vorinstanz betreffend die Reisepapiere nicht zu überzeugen. Abgesehen davon, dass eine Person, wie die Vorinstanz zu Recht erwog, die Personalien im gefälschten Dokument sehr wohl einprägt, ist es zudem erfahrungswidrig, dass die Beschwerdeführerin die Reisepapiere während der Reise nicht auf sich getragen haben will. Aufgrund des soeben Ausgeführten ist zu schliessen, es handle sich bei den geltend gemachten Asylgründen der Beschwerdeführerin um ein Sachverhaltskonstrukt betreffend allgemein bekannter Umstände in Zimbabwe, ohne je selbst im behaupteten Umfang davon betroffen gewesen zu sein.</w:t>
      </w:r>
    </w:p>
    <w:p>
      <w:r>
        <w:rPr>
          <w:b/>
        </w:rPr>
        <w:t>E. 5.4</w:t>
      </w:r>
    </w:p>
    <w:p>
      <w:r>
        <w:t>Zusammenfassend ist festzuhalten, dass die Beschwerdeführerin keine Gründe nach Art. 3 AsylG nachweisen oder glaubhaft machen konnte. Der Sachverhalt ist erstellt, weshalb der Subeventualantrag auf Rückweisung zur Neubeurteilung an die Vorinstanz abzuweisen ist. Nach dem Gesagten erübrigt es sich, auf weitere Beschwerdevorbringen, insbesondere die Beweismittel einzugehen, da die eingereichten Beweismittel nicht konkret Bezug zu den geltend gemachten Asylgründen nehmen. Das BFM hat somit zu Recht die Flüchtlingseigenschaft der Beschwerdeführerin verneint und deren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nach den vorstehenden Erwägungen nicht gelungen. Auch die allgemeine Menschenrechtssituation in Zimbabwe lässt den Wegweisungsvollzug zum heutigen Zeitpunkt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Vorab ist festzustellen, dass angesichts der heutigen Lage in Zimbabwe nicht von einer Situation allgemeiner Gewalt gesprochen werden kann, welche für die Beschwerdeführerin bei einer Rückkehr eine konkrete Gefährdung darstellen würde. Ob die Beschwerdeführerin bei einer Rückkehr aus individuellen Gründen in eine existenzbedrohende Situation geraten würde, lässt sich aufgrund der generellen Unglaubhaftigkeit ihrer Vorbringen nicht beantworten und ist vom Bundesverwaltungsgericht praxisgemäss auch nicht weiter abzuklären, da die Untersuchungspflicht nach Treu und Glauben ihre Grenzen an der Mitwirkungspflicht der beschwerdeführenden Person findet (Art. 8 AsylG). Die Frage, ob die Beschwerdeführerin - wie von ihr geltend gemacht - tatsächlich über keine nahen Verwandten und damit kein tragfähiges soziales Netz in Zimbabwe verfügt, kann folglich offen gelassen werden. Nach dem Gesagten erweist sich der Vollzug der Wegweisung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sind die Kosten der Beschwer­de­füh­re­rin aufzuerlegen (Art. 63 Abs. 1 und 5 VwVG). Sie sind auf insgesamt Fr. 600.-- festzusetzen (Art. 1 - 3 des Reglements vom 21. Feb­ruar 2008 über die Kosten und Entschädigungen vor dem Bundesverwaltungsgericht [VGKE, SR 173.320.2]) und mit dem am 3. Januar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