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D-6764/2017 vom 14. Mai 2018</w:t>
      </w:r>
    </w:p>
    <w:p>
      <w:r>
        <w:t>Bundesverwaltungsgericht, 2018-05-14, FR</w:t>
      </w:r>
    </w:p>
    <w:p>
      <w:r>
        <w:rPr>
          <w:b/>
        </w:rPr>
        <w:t xml:space="preserve">Quelle: </w:t>
      </w:r>
      <w:r>
        <w:t>https://mcp.opencaselaw.ch/entscheid/bvger_D-6764_2017</w:t>
      </w:r>
    </w:p>
    <w:p>
      <w:r>
        <w:t>FR: TAF D-6764/2017 du 14 mai 2018</w:t>
      </w:r>
    </w:p>
    <w:p>
      <w:r>
        <w:t>IT: TAF D-6764/2017 del 14 maggio 2018</w:t>
      </w:r>
    </w:p>
    <w:p>
      <w:pPr>
        <w:pStyle w:val="Heading2"/>
      </w:pPr>
      <w:r>
        <w:t>Regeste</w:t>
      </w:r>
    </w:p>
    <w:p>
      <w:r>
        <w:t>Asile et renvoi</w:t>
      </w:r>
    </w:p>
    <w:p>
      <w:pPr>
        <w:pStyle w:val="Heading2"/>
      </w:pPr>
      <w:r>
        <w:t>Erwägungen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les réf. citées ; 2010/57 consid. 2.5 ; 2008/12 consid. 5.1).</w:t>
      </w:r>
    </w:p>
    <w:p>
      <w:r>
        <w:rPr>
          <w:b/>
        </w:rPr>
        <w:t>E. 3.3</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4.1</w:t>
      </w:r>
    </w:p>
    <w:p>
      <w:r>
        <w:t>En l'espèce, il peut être admis que la recourante a été incorporée dans l'armée érythréenne, en dernier lieu dans un garage à E._______. En effet, ses déclarations sur ce point sont cohérentes et constantes. Au consid. II ch. 1 de sa décision du 26 octobre 2017, le SEM, pour remettre en doute dite incorporation, a repris mot pour mot la motivation du consid. II, ch. 1 de sa décision du 29 juin précédent. Pourtant, le Tribunal, dans son arrêt du 9 août 2017, l'avait écartée et fait siens les arguments de la recourante (arguments repris au ch. 1, p. 2 ss, du recours du 29 novembre 2017).</w:t>
      </w:r>
    </w:p>
    <w:p>
      <w:r>
        <w:rPr>
          <w:b/>
        </w:rPr>
        <w:t>E. 4.2</w:t>
      </w:r>
    </w:p>
    <w:p>
      <w:r>
        <w:t>Celle-ci n'a toutefois pas rendu vraisemblable avoir déserté de l'armée.</w:t>
      </w:r>
    </w:p>
    <w:p>
      <w:r>
        <w:rPr>
          <w:b/>
        </w:rPr>
        <w:t>E. 4.2.1</w:t>
      </w:r>
    </w:p>
    <w:p>
      <w:r>
        <w:t>D'abord, elle a allégué, de manière constante, que le vol du véhicule ainsi que l'arrestation du voleur et de ses deux collègues de travail avaient eu lieu le vendredi 28 décembre 2014 (cf. le pv de l'audition du 31 août 2015, ch. 7.02 ; le pv de l'audition du 20 juin 2017, spéc. questions 122, 133 et 134 ; le recours, p. 2 et 5). Or, le 28 décembre 2014 est un dimanche, un jour non travaillé (cf. le pv de l'audition du 31 août 2015, ch. 7.01 ; cf. le recours, p. 5). Partant, elle n'a pas pu assister, à cette date, aux événements à l'origine de sa fuite du pays.</w:t>
      </w:r>
    </w:p>
    <w:p>
      <w:r>
        <w:rPr>
          <w:b/>
        </w:rPr>
        <w:t>E. 4.2.2</w:t>
      </w:r>
    </w:p>
    <w:p>
      <w:r>
        <w:t>Par ailleurs, force est de constater, à l'instar du SEM, que la recourante n'aurait pu rentrer chez elle, ce jour-là, franchissant le contrôle de sécurité (cf. le pv de l'audition du 20 juin 2017, question 172), si elle avait prétendument été dénoncée par le voleur comme étant une complice. Son explication sur ce point, selon laquelle les autorités avaient d'abord appréhendé ses deux collègues présents au moment du vol, ne convainc pas, d'autant moins que son supérieur serait allé chercher les soldats pour la faire arrêter (cf. le pv de l'audition du 20 juin 2017, question 138). De surcroît, la recourante n'a pas été constante s'agissant de l'identité du voleur : en effet, après avoir déclaré ne pas le connaître, s'agissant certainement d'un employé (cf. le pv de l'audition du 20 juin 2017, questions 126 s.), elle a pu, contre toute attente, décliner son identité (ibidem, question 156).</w:t>
      </w:r>
    </w:p>
    <w:p>
      <w:r>
        <w:rPr>
          <w:b/>
        </w:rPr>
        <w:t>E. 4.3</w:t>
      </w:r>
    </w:p>
    <w:p>
      <w:r>
        <w:t>En conclusion, le Tribunal ne peut retenir, sur la base des déclarations de la recourante, que celle-ci ait fait l'objet de recherches actives par les autorités au moment de son départ, et ait alors été considérée comme un déserteur ou un insoumis. N'entretenant par ailleurs aucun engagement politique, il n'y avait alors pas de raison qu'elle ait été exposée à un risque de persécution.</w:t>
      </w:r>
    </w:p>
    <w:p>
      <w:r>
        <w:rPr>
          <w:b/>
        </w:rPr>
        <w:t>E. 4.4</w:t>
      </w:r>
    </w:p>
    <w:p>
      <w:r>
        <w:t>Il s'ensuit que le recours, en tant qu'il conteste le refus de l'asile, doit être rejeté.</w:t>
      </w:r>
    </w:p>
    <w:p>
      <w:r>
        <w:rPr>
          <w:b/>
        </w:rPr>
        <w:t>E. 5.1</w:t>
      </w:r>
    </w:p>
    <w:p>
      <w:r>
        <w:t>Il convient d'examiner si la recourante, en raison de son départ illégal du pays, peut se voir reconnaître la qualité de réfugié, à l'exclusion de l'asile, pour des motifs subjectifs survenus après la fuite (cf. art. 54 LAsi).</w:t>
      </w:r>
    </w:p>
    <w:p>
      <w:r>
        <w:rPr>
          <w:b/>
        </w:rPr>
        <w:t>E. 5.2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à l'évidence défaut (cf. également consid. 8.5 infra). En effet, la recourante, comme relevé au consid. 4, n'a pas rendu vraisemblables ses motifs de protection, notamment avoir déserté à l'âge de (...) ans pour les raisons invoquées. En outre, elle n'a pas allégué avoir exercé des activités politiques d'opposition ni avoir rencontré d'autres problèmes avec les autorités de son pays (cf. le procès-verbal de l'audition du 31 août 2015, ch. 7.03 ; le procès-verbal de l'audition du 20 juin 2017, question 186). Par ailleurs, dans son arrêt M.O. contre Suisse du 20 juin 2017, requête no 41282/16, spéc. ch 72 s. et 79), la Cour européenne des droits de l'homme (ci-après : CourEDH) a elle aussi relevé, contrairement à ce que la recourante affirme à la page 7 de son recours, que la situation personnelle du requérant était déterminante, si celui-ci courrait un risque de mauvais traitement en cas de retour en Erythrée, en particulier en raison de son départ illégal alors qu'il était en âge d'être appelé sous les drapeaux, précisant que la présence d'un mauvais traitement antérieur fournissait un indice solide d'un risque réel de mauvais traitements futurs.</w:t>
      </w:r>
    </w:p>
    <w:p>
      <w:r>
        <w:rPr>
          <w:b/>
        </w:rPr>
        <w:t>E. 5.4</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en l'espèce, au principe de non-refoulement de l'art. 5 LAsi. En effet,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8.4</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5 à 10 ans d'armée. Les personnes libérées n'avaient en outre pas à craindre, à leur retour en Erythrée, d'être à nouveau incorporées dans l'armée, respectivement détenues en raison d'un refus de servir (cf. consid. 13 de l'arrêt précité ; cf. également l'arrêt du Tribunal D-2784/2016 du 30 novembre 2017, consid. 5.2.2).</w:t>
      </w:r>
    </w:p>
    <w:p>
      <w:r>
        <w:rPr>
          <w:b/>
        </w:rPr>
        <w:t>E. 8.5</w:t>
      </w:r>
    </w:p>
    <w:p>
      <w:r>
        <w:t>En l'occurrence, la recourante, qui a quitté son pays en date du 1er janvier 2015, à l'âge de (...) ans, n'a pas rendu crédible avoir abandonné son poste à l'armée sans permission. Partant, elle a assurément été libérée du service militaire et ne court donc pas le risque d'être condamnée pour n'avoir pas effectué ses obligations militaires. Elle n'a donc pas rendu vraisemblable l'existence d'un risque réel, fondé sur des motifs sérieux et avérés, d'être exposé, en cas de renvoi en Erythrée, à un traitement prohibé par l'art. 3 CEDH et l'art. 3 Conv. torture. Peut donc demeurer indécise la question de savoir si le service national en Erythrée constitue un travail forcé, au sens de l'art. 4 CEDH, la recourante l'ayant déjà effectué.</w:t>
      </w:r>
    </w:p>
    <w:p>
      <w:r>
        <w:rPr>
          <w:b/>
        </w:rPr>
        <w:t>E. 8.6</w:t>
      </w:r>
    </w:p>
    <w:p>
      <w:r>
        <w:t>Partant, l'exécution du renvoi de la recourante sous forme de refoulement ne transgresse aucun engagement de la Suisse relevant du droit international, de sorte qu'elle s'avère licite (art. 44 LAsi et art. 83 al. 3 LEtr).</w:t>
      </w:r>
    </w:p>
    <w:p>
      <w:r>
        <w:rPr>
          <w:b/>
        </w:rPr>
        <w:t>E. 9.1</w:t>
      </w:r>
    </w:p>
    <w:p>
      <w:r>
        <w:t>Selon l'art. 83 al. 4 LEtr,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(ATAF 2014/26 consid. 7.3-7.10 ; ATAF 2011/50 consid. 8.1-8.3).</w:t>
      </w:r>
    </w:p>
    <w:p>
      <w:r>
        <w:rPr>
          <w:b/>
        </w:rPr>
        <w:t>E. 9.2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D-2311/2016 précité, consid. 17).</w:t>
      </w:r>
    </w:p>
    <w:p>
      <w:r>
        <w:rPr>
          <w:b/>
        </w:rPr>
        <w:t>E. 9.3</w:t>
      </w:r>
    </w:p>
    <w:p>
      <w:r>
        <w:t>En outre, il ne ressort du dossier aucun élément dont on pourrait inférer que l'exécution du renvoi impliquerait une mise en danger concrète de la recourante pour des motifs qui lui sont propres. A cet égard, le Tribunal relève que celle-ci est en bonne santé, qu'elle a vécu en Erythrée jusqu'à l'âge de (...) ans et y a encore de la famille, notamment ses parents et ses frères et soeurs.</w:t>
      </w:r>
    </w:p>
    <w:p>
      <w:r>
        <w:rPr>
          <w:b/>
        </w:rPr>
        <w:t>E. 9.4</w:t>
      </w:r>
    </w:p>
    <w:p>
      <w:r>
        <w:t>Pour ces motifs, l'exécution du renvoi doit être considérée comme raisonnablement exigible.</w:t>
      </w:r>
    </w:p>
    <w:p>
      <w:r>
        <w:rPr>
          <w:b/>
        </w:rPr>
        <w:t>E. 10</w:t>
      </w:r>
    </w:p>
    <w:p>
      <w:r>
        <w:t>Enfin, si un retour forcé en Erythrée n'est d'une manière générale pas possible (cf. arrêt D-2311/2016 précité, consid. 19), il appartient cependant à l'intéressée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11</w:t>
      </w:r>
    </w:p>
    <w:p>
      <w:r>
        <w:t>En conséquence, le recours, en tant qu'il porte sur le renvoi et son exécution, doit ainsi également être rejeté.</w:t>
      </w:r>
    </w:p>
    <w:p>
      <w:r>
        <w:rPr>
          <w:b/>
        </w:rPr>
        <w:t>E. 12.1</w:t>
      </w:r>
    </w:p>
    <w:p>
      <w:r>
        <w:t>Vu l'issue de la cause, il y aurait lieu de mettre les frais de procédure à la charge de la recourante (cf. art. 63 al. 1 PA et art. 2 et 3 let. b du règlement du 21 février 2008, concernant les frais, dépens et indemnités fixés par le Tribunal administratif fédéral [FITAF, RS 173.320.2]). Toutefois, la demande d'assistance judiciaire totale ayant été admise, il est statué sans frais.</w:t>
      </w:r>
    </w:p>
    <w:p>
      <w:r>
        <w:rPr>
          <w:b/>
        </w:rPr>
        <w:t>E. 12.2</w:t>
      </w:r>
    </w:p>
    <w:p>
      <w:r>
        <w:t>En cas de représentation d'office en matière d'asile, le tarif horaire est dans la règle 100 à 150 francs pour les représentants n'exerçant pas la profession d'avocat (cf. art. 12 FITAF en lien avec l'art. 10 al. 2 FITAF). Seuls les frais nécessaires sont indemnisés (cf. art. 8 al. 2 FITAF). Le tribunal fixe les frais de représentation sur la base du décompte de prestations qu'il appartient aux parties ayant droit aux dépens de lui faire parvenir avant le prononcé (cf. art. 14 FITAF).</w:t>
      </w:r>
    </w:p>
    <w:p>
      <w:r>
        <w:rPr>
          <w:b/>
        </w:rPr>
        <w:t>E. 12.3</w:t>
      </w:r>
    </w:p>
    <w:p>
      <w:r>
        <w:t>En l'espèce, en l'absence d'un décompte de prestations et compte tenu d'un tarif horaire de 150 francs appliqué dans le cas particulier, l'indemnité due à la mandataire d'office est fixée à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